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sz w:val="44"/>
          <w:szCs w:val="44"/>
        </w:rPr>
      </w:pPr>
      <w:bookmarkStart w:id="0" w:name="_GoBack"/>
      <w:bookmarkEnd w:id="0"/>
      <w:r>
        <w:rPr>
          <w:rFonts w:hint="eastAsia" w:ascii="Times New Roman" w:hAnsi="Times New Roman" w:eastAsia="方正小标宋_GBK"/>
          <w:sz w:val="44"/>
          <w:szCs w:val="44"/>
          <w:lang w:eastAsia="zh-CN"/>
        </w:rPr>
        <w:t>宜阳县</w:t>
      </w:r>
      <w:r>
        <w:rPr>
          <w:rFonts w:ascii="Times New Roman" w:hAnsi="Times New Roman" w:eastAsia="方正小标宋_GBK"/>
          <w:sz w:val="44"/>
          <w:szCs w:val="44"/>
        </w:rPr>
        <w:t>城乡规划领域基层政务公开标准目录</w:t>
      </w:r>
    </w:p>
    <w:p>
      <w:pPr>
        <w:jc w:val="center"/>
        <w:rPr>
          <w:rFonts w:ascii="Times New Roman" w:hAnsi="Times New Roman" w:eastAsia="方正小标宋_GBK"/>
          <w:sz w:val="24"/>
          <w:szCs w:val="24"/>
        </w:rPr>
      </w:pPr>
    </w:p>
    <w:tbl>
      <w:tblPr>
        <w:tblStyle w:val="5"/>
        <w:tblW w:w="14061" w:type="dxa"/>
        <w:tblInd w:w="113" w:type="dxa"/>
        <w:tblLayout w:type="autofit"/>
        <w:tblCellMar>
          <w:top w:w="0" w:type="dxa"/>
          <w:left w:w="108" w:type="dxa"/>
          <w:bottom w:w="0" w:type="dxa"/>
          <w:right w:w="108" w:type="dxa"/>
        </w:tblCellMar>
      </w:tblPr>
      <w:tblGrid>
        <w:gridCol w:w="456"/>
        <w:gridCol w:w="792"/>
        <w:gridCol w:w="693"/>
        <w:gridCol w:w="1598"/>
        <w:gridCol w:w="1134"/>
        <w:gridCol w:w="1134"/>
        <w:gridCol w:w="1308"/>
        <w:gridCol w:w="2603"/>
        <w:gridCol w:w="701"/>
        <w:gridCol w:w="839"/>
        <w:gridCol w:w="700"/>
        <w:gridCol w:w="701"/>
        <w:gridCol w:w="701"/>
        <w:gridCol w:w="701"/>
      </w:tblGrid>
      <w:tr>
        <w:tblPrEx>
          <w:tblCellMar>
            <w:top w:w="0" w:type="dxa"/>
            <w:left w:w="108" w:type="dxa"/>
            <w:bottom w:w="0" w:type="dxa"/>
            <w:right w:w="108" w:type="dxa"/>
          </w:tblCellMar>
        </w:tblPrEx>
        <w:trPr>
          <w:wBefore w:w="0" w:type="dxa"/>
          <w:wAfter w:w="0" w:type="dxa"/>
          <w:trHeight w:val="263" w:hRule="atLeast"/>
        </w:trPr>
        <w:tc>
          <w:tcPr>
            <w:tcW w:w="456" w:type="dxa"/>
            <w:vMerge w:val="restart"/>
            <w:tcBorders>
              <w:top w:val="single" w:color="auto" w:sz="4" w:space="0"/>
              <w:left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序</w:t>
            </w:r>
          </w:p>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号</w:t>
            </w:r>
          </w:p>
        </w:tc>
        <w:tc>
          <w:tcPr>
            <w:tcW w:w="148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公开事项</w:t>
            </w:r>
          </w:p>
        </w:tc>
        <w:tc>
          <w:tcPr>
            <w:tcW w:w="1598" w:type="dxa"/>
            <w:vMerge w:val="restart"/>
            <w:tcBorders>
              <w:top w:val="single" w:color="auto" w:sz="4" w:space="0"/>
              <w:left w:val="nil"/>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公开内容</w:t>
            </w:r>
          </w:p>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（要素）</w:t>
            </w:r>
          </w:p>
        </w:tc>
        <w:tc>
          <w:tcPr>
            <w:tcW w:w="1134" w:type="dxa"/>
            <w:vMerge w:val="restart"/>
            <w:tcBorders>
              <w:top w:val="single" w:color="auto" w:sz="4" w:space="0"/>
              <w:left w:val="nil"/>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公开依据</w:t>
            </w:r>
          </w:p>
        </w:tc>
        <w:tc>
          <w:tcPr>
            <w:tcW w:w="1134" w:type="dxa"/>
            <w:vMerge w:val="restart"/>
            <w:tcBorders>
              <w:top w:val="single" w:color="auto" w:sz="4" w:space="0"/>
              <w:left w:val="nil"/>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公开时限</w:t>
            </w:r>
          </w:p>
        </w:tc>
        <w:tc>
          <w:tcPr>
            <w:tcW w:w="1308" w:type="dxa"/>
            <w:vMerge w:val="restart"/>
            <w:tcBorders>
              <w:top w:val="single" w:color="auto" w:sz="4" w:space="0"/>
              <w:left w:val="nil"/>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公开主体</w:t>
            </w:r>
          </w:p>
        </w:tc>
        <w:tc>
          <w:tcPr>
            <w:tcW w:w="2603" w:type="dxa"/>
            <w:vMerge w:val="restart"/>
            <w:tcBorders>
              <w:top w:val="single" w:color="auto" w:sz="4" w:space="0"/>
              <w:left w:val="nil"/>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公开渠道和载体</w:t>
            </w:r>
          </w:p>
        </w:tc>
        <w:tc>
          <w:tcPr>
            <w:tcW w:w="154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公开对象</w:t>
            </w:r>
          </w:p>
        </w:tc>
        <w:tc>
          <w:tcPr>
            <w:tcW w:w="14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公开方式</w:t>
            </w:r>
          </w:p>
        </w:tc>
        <w:tc>
          <w:tcPr>
            <w:tcW w:w="140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公开层级</w:t>
            </w:r>
          </w:p>
        </w:tc>
      </w:tr>
      <w:tr>
        <w:tblPrEx>
          <w:tblCellMar>
            <w:top w:w="0" w:type="dxa"/>
            <w:left w:w="108" w:type="dxa"/>
            <w:bottom w:w="0" w:type="dxa"/>
            <w:right w:w="108" w:type="dxa"/>
          </w:tblCellMar>
        </w:tblPrEx>
        <w:trPr>
          <w:wBefore w:w="0" w:type="dxa"/>
          <w:wAfter w:w="0" w:type="dxa"/>
          <w:trHeight w:val="263" w:hRule="atLeast"/>
        </w:trPr>
        <w:tc>
          <w:tcPr>
            <w:tcW w:w="456"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79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一级事项</w:t>
            </w: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二级事项</w:t>
            </w:r>
          </w:p>
        </w:tc>
        <w:tc>
          <w:tcPr>
            <w:tcW w:w="1598" w:type="dxa"/>
            <w:vMerge w:val="continue"/>
            <w:tcBorders>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1134" w:type="dxa"/>
            <w:vMerge w:val="continue"/>
            <w:tcBorders>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1134" w:type="dxa"/>
            <w:vMerge w:val="continue"/>
            <w:tcBorders>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1308" w:type="dxa"/>
            <w:vMerge w:val="continue"/>
            <w:tcBorders>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2603" w:type="dxa"/>
            <w:vMerge w:val="continue"/>
            <w:tcBorders>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全社会</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特定群体</w:t>
            </w: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主动</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依申请</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县级</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乡级</w:t>
            </w:r>
          </w:p>
        </w:tc>
      </w:tr>
      <w:tr>
        <w:tblPrEx>
          <w:tblCellMar>
            <w:top w:w="0" w:type="dxa"/>
            <w:left w:w="108" w:type="dxa"/>
            <w:bottom w:w="0" w:type="dxa"/>
            <w:right w:w="108" w:type="dxa"/>
          </w:tblCellMar>
        </w:tblPrEx>
        <w:trPr>
          <w:wBefore w:w="0" w:type="dxa"/>
          <w:wAfter w:w="0" w:type="dxa"/>
          <w:trHeight w:val="26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1</w:t>
            </w:r>
          </w:p>
        </w:tc>
        <w:tc>
          <w:tcPr>
            <w:tcW w:w="7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公共服务</w:t>
            </w: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法规文件</w:t>
            </w:r>
          </w:p>
        </w:tc>
        <w:tc>
          <w:tcPr>
            <w:tcW w:w="1598"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城乡规划领域相关法律、法规、规章、规范性文件</w:t>
            </w:r>
          </w:p>
        </w:tc>
        <w:tc>
          <w:tcPr>
            <w:tcW w:w="1134"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《中华人民共和国城乡规划法》《中华人民共和国政府信息公开条例》</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信息形成或者变更之日起20个工作日内</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 xml:space="preserve">政府网站 </w:t>
            </w: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 xml:space="preserve">两微一端 </w:t>
            </w:r>
          </w:p>
          <w:p>
            <w:pPr>
              <w:widowControl/>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纸质载体</w:t>
            </w: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公开查阅点</w:t>
            </w:r>
          </w:p>
          <w:p>
            <w:pPr>
              <w:widowControl/>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政府服务中心</w:t>
            </w:r>
          </w:p>
          <w:p>
            <w:pPr>
              <w:widowControl/>
              <w:rPr>
                <w:rFonts w:hint="eastAsia" w:ascii="仿宋_GB2312" w:hAnsi="仿宋_GB2312" w:eastAsia="仿宋_GB2312" w:cs="仿宋_GB2312"/>
                <w:b w:val="0"/>
                <w:bCs/>
                <w:color w:val="000000"/>
                <w:kern w:val="0"/>
                <w:sz w:val="21"/>
                <w:szCs w:val="21"/>
                <w:u w:val="single"/>
              </w:rPr>
            </w:pP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社区/企事业单位/村公示栏（电子屏）</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r>
      <w:tr>
        <w:tblPrEx>
          <w:tblCellMar>
            <w:top w:w="0" w:type="dxa"/>
            <w:left w:w="108" w:type="dxa"/>
            <w:bottom w:w="0" w:type="dxa"/>
            <w:right w:w="108" w:type="dxa"/>
          </w:tblCellMar>
        </w:tblPrEx>
        <w:trPr>
          <w:wBefore w:w="0" w:type="dxa"/>
          <w:wAfter w:w="0" w:type="dxa"/>
          <w:trHeight w:val="2640"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2</w:t>
            </w:r>
          </w:p>
        </w:tc>
        <w:tc>
          <w:tcPr>
            <w:tcW w:w="79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政民互动</w:t>
            </w:r>
          </w:p>
        </w:tc>
        <w:tc>
          <w:tcPr>
            <w:tcW w:w="1598"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城乡规划事项的意见征集、咨询、信访等</w:t>
            </w:r>
          </w:p>
        </w:tc>
        <w:tc>
          <w:tcPr>
            <w:tcW w:w="1134"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《中华人民共和国政府信息公开条例》</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实时公开</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 xml:space="preserve">政府网站 </w:t>
            </w: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 xml:space="preserve">两微一端 </w:t>
            </w:r>
          </w:p>
          <w:p>
            <w:pPr>
              <w:widowControl/>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 xml:space="preserve">广播电视 </w:t>
            </w: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公开查阅点</w:t>
            </w:r>
          </w:p>
          <w:p>
            <w:pPr>
              <w:widowControl/>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15"/>
                <w:szCs w:val="15"/>
                <w:lang w:eastAsia="zh-CN"/>
              </w:rPr>
              <w:t>■</w:t>
            </w:r>
            <w:r>
              <w:rPr>
                <w:rFonts w:hint="eastAsia" w:ascii="仿宋_GB2312" w:hAnsi="仿宋_GB2312" w:eastAsia="仿宋_GB2312" w:cs="仿宋_GB2312"/>
                <w:b w:val="0"/>
                <w:bCs/>
                <w:color w:val="000000"/>
                <w:kern w:val="0"/>
                <w:sz w:val="21"/>
                <w:szCs w:val="21"/>
              </w:rPr>
              <w:t>政府服务中心</w:t>
            </w:r>
          </w:p>
          <w:p>
            <w:pPr>
              <w:widowControl/>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 xml:space="preserve">    </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b w:val="0"/>
                <w:bCs/>
                <w:color w:val="000000"/>
                <w:kern w:val="0"/>
                <w:sz w:val="21"/>
                <w:szCs w:val="21"/>
              </w:rPr>
            </w:pPr>
          </w:p>
        </w:tc>
      </w:tr>
    </w:tbl>
    <w:p>
      <w:pPr>
        <w:rPr>
          <w:rFonts w:ascii="Times New Roman" w:hAnsi="Times New Roman" w:eastAsia="仿宋_GB2312"/>
          <w:sz w:val="10"/>
          <w:szCs w:val="10"/>
        </w:rPr>
        <w:sectPr>
          <w:footerReference r:id="rId3" w:type="default"/>
          <w:pgSz w:w="16838" w:h="11906" w:orient="landscape"/>
          <w:pgMar w:top="1588" w:right="1440" w:bottom="1418" w:left="1440" w:header="851" w:footer="992" w:gutter="0"/>
          <w:pgBorders>
            <w:top w:val="none" w:sz="0" w:space="0"/>
            <w:left w:val="none" w:sz="0" w:space="0"/>
            <w:bottom w:val="none" w:sz="0" w:space="0"/>
            <w:right w:val="none" w:sz="0" w:space="0"/>
          </w:pgBorders>
          <w:cols w:space="720" w:num="1"/>
          <w:docGrid w:type="lines" w:linePitch="312" w:charSpace="0"/>
        </w:sectPr>
      </w:pPr>
    </w:p>
    <w:tbl>
      <w:tblPr>
        <w:tblStyle w:val="5"/>
        <w:tblpPr w:leftFromText="180" w:rightFromText="180" w:vertAnchor="text" w:horzAnchor="margin" w:tblpY="-472"/>
        <w:tblW w:w="14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92"/>
        <w:gridCol w:w="846"/>
        <w:gridCol w:w="1366"/>
        <w:gridCol w:w="1575"/>
        <w:gridCol w:w="925"/>
        <w:gridCol w:w="1308"/>
        <w:gridCol w:w="2603"/>
        <w:gridCol w:w="701"/>
        <w:gridCol w:w="839"/>
        <w:gridCol w:w="700"/>
        <w:gridCol w:w="701"/>
        <w:gridCol w:w="70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3" w:hRule="atLeast"/>
        </w:trPr>
        <w:tc>
          <w:tcPr>
            <w:tcW w:w="456"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638" w:type="dxa"/>
            <w:gridSpan w:val="2"/>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366"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575"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925"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308"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3" w:hRule="atLeast"/>
        </w:trPr>
        <w:tc>
          <w:tcPr>
            <w:tcW w:w="456" w:type="dxa"/>
            <w:vMerge w:val="continue"/>
            <w:noWrap/>
            <w:vAlign w:val="center"/>
          </w:tcPr>
          <w:p>
            <w:pPr>
              <w:widowControl/>
              <w:jc w:val="center"/>
              <w:rPr>
                <w:rFonts w:ascii="Times New Roman" w:hAnsi="Times New Roman" w:eastAsia="仿宋_GB2312"/>
                <w:b/>
                <w:color w:val="000000"/>
                <w:kern w:val="0"/>
                <w:szCs w:val="21"/>
              </w:rPr>
            </w:pPr>
          </w:p>
        </w:tc>
        <w:tc>
          <w:tcPr>
            <w:tcW w:w="792"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一级事项</w:t>
            </w:r>
          </w:p>
        </w:tc>
        <w:tc>
          <w:tcPr>
            <w:tcW w:w="846"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二级事项</w:t>
            </w:r>
          </w:p>
        </w:tc>
        <w:tc>
          <w:tcPr>
            <w:tcW w:w="1366" w:type="dxa"/>
            <w:vMerge w:val="continue"/>
            <w:noWrap/>
            <w:vAlign w:val="center"/>
          </w:tcPr>
          <w:p>
            <w:pPr>
              <w:widowControl/>
              <w:jc w:val="center"/>
              <w:rPr>
                <w:rFonts w:ascii="Times New Roman" w:hAnsi="Times New Roman" w:eastAsia="仿宋_GB2312"/>
                <w:b/>
                <w:color w:val="000000"/>
                <w:kern w:val="0"/>
                <w:szCs w:val="21"/>
              </w:rPr>
            </w:pPr>
          </w:p>
        </w:tc>
        <w:tc>
          <w:tcPr>
            <w:tcW w:w="1575" w:type="dxa"/>
            <w:vMerge w:val="continue"/>
            <w:noWrap/>
            <w:vAlign w:val="center"/>
          </w:tcPr>
          <w:p>
            <w:pPr>
              <w:widowControl/>
              <w:jc w:val="center"/>
              <w:rPr>
                <w:rFonts w:ascii="Times New Roman" w:hAnsi="Times New Roman" w:eastAsia="仿宋_GB2312"/>
                <w:b/>
                <w:color w:val="000000"/>
                <w:kern w:val="0"/>
                <w:szCs w:val="21"/>
              </w:rPr>
            </w:pPr>
          </w:p>
        </w:tc>
        <w:tc>
          <w:tcPr>
            <w:tcW w:w="925" w:type="dxa"/>
            <w:vMerge w:val="continue"/>
            <w:noWrap/>
            <w:vAlign w:val="center"/>
          </w:tcPr>
          <w:p>
            <w:pPr>
              <w:widowControl/>
              <w:jc w:val="center"/>
              <w:rPr>
                <w:rFonts w:ascii="Times New Roman" w:hAnsi="Times New Roman" w:eastAsia="仿宋_GB2312"/>
                <w:b/>
                <w:color w:val="000000"/>
                <w:kern w:val="0"/>
                <w:szCs w:val="21"/>
              </w:rPr>
            </w:pPr>
          </w:p>
        </w:tc>
        <w:tc>
          <w:tcPr>
            <w:tcW w:w="1308" w:type="dxa"/>
            <w:vMerge w:val="continue"/>
            <w:noWrap/>
            <w:vAlign w:val="center"/>
          </w:tcPr>
          <w:p>
            <w:pPr>
              <w:widowControl/>
              <w:jc w:val="center"/>
              <w:rPr>
                <w:rFonts w:ascii="Times New Roman" w:hAnsi="Times New Roman" w:eastAsia="仿宋_GB2312"/>
                <w:b/>
                <w:color w:val="000000"/>
                <w:kern w:val="0"/>
                <w:szCs w:val="21"/>
              </w:rPr>
            </w:pPr>
          </w:p>
        </w:tc>
        <w:tc>
          <w:tcPr>
            <w:tcW w:w="2603" w:type="dxa"/>
            <w:vMerge w:val="continue"/>
            <w:noWrap/>
            <w:vAlign w:val="center"/>
          </w:tcPr>
          <w:p>
            <w:pPr>
              <w:widowControl/>
              <w:jc w:val="center"/>
              <w:rPr>
                <w:rFonts w:ascii="Times New Roman" w:hAnsi="Times New Roman" w:eastAsia="仿宋_GB2312"/>
                <w:b/>
                <w:color w:val="000000"/>
                <w:kern w:val="0"/>
                <w:szCs w:val="21"/>
              </w:rPr>
            </w:pPr>
          </w:p>
        </w:tc>
        <w:tc>
          <w:tcPr>
            <w:tcW w:w="701"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全社会</w:t>
            </w:r>
          </w:p>
        </w:tc>
        <w:tc>
          <w:tcPr>
            <w:tcW w:w="839"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特定群体</w:t>
            </w:r>
          </w:p>
        </w:tc>
        <w:tc>
          <w:tcPr>
            <w:tcW w:w="700"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主动</w:t>
            </w:r>
          </w:p>
        </w:tc>
        <w:tc>
          <w:tcPr>
            <w:tcW w:w="701"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依申请</w:t>
            </w:r>
          </w:p>
        </w:tc>
        <w:tc>
          <w:tcPr>
            <w:tcW w:w="701"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县级</w:t>
            </w:r>
          </w:p>
        </w:tc>
        <w:tc>
          <w:tcPr>
            <w:tcW w:w="701"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02" w:hRule="atLeast"/>
        </w:trPr>
        <w:tc>
          <w:tcPr>
            <w:tcW w:w="456" w:type="dxa"/>
            <w:noWrap/>
            <w:vAlign w:val="center"/>
          </w:tcPr>
          <w:p>
            <w:pPr>
              <w:widowControl/>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3</w:t>
            </w:r>
          </w:p>
        </w:tc>
        <w:tc>
          <w:tcPr>
            <w:tcW w:w="792"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公共服务</w:t>
            </w:r>
          </w:p>
        </w:tc>
        <w:tc>
          <w:tcPr>
            <w:tcW w:w="846" w:type="dxa"/>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办事服务</w:t>
            </w:r>
          </w:p>
        </w:tc>
        <w:tc>
          <w:tcPr>
            <w:tcW w:w="1366" w:type="dxa"/>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行政许可的事项、依据、条件、数量、程序、期限以及申请行政许可需要提交的全部材料目录</w:t>
            </w:r>
          </w:p>
        </w:tc>
        <w:tc>
          <w:tcPr>
            <w:tcW w:w="1575" w:type="dxa"/>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《中华人民共和国政府信息公开条例》</w:t>
            </w:r>
          </w:p>
        </w:tc>
        <w:tc>
          <w:tcPr>
            <w:tcW w:w="925" w:type="dxa"/>
            <w:noWrap/>
            <w:vAlign w:val="center"/>
          </w:tcPr>
          <w:p>
            <w:pPr>
              <w:widowControl/>
              <w:jc w:val="center"/>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实时</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公开</w:t>
            </w:r>
          </w:p>
        </w:tc>
        <w:tc>
          <w:tcPr>
            <w:tcW w:w="1308" w:type="dxa"/>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noWrap/>
            <w:vAlign w:val="center"/>
          </w:tcPr>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 xml:space="preserve">       </w:t>
            </w:r>
          </w:p>
        </w:tc>
        <w:tc>
          <w:tcPr>
            <w:tcW w:w="701"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noWrap/>
            <w:vAlign w:val="center"/>
          </w:tcPr>
          <w:p>
            <w:pPr>
              <w:widowControl/>
              <w:jc w:val="center"/>
              <w:rPr>
                <w:rFonts w:ascii="Times New Roman" w:hAnsi="Times New Roman" w:eastAsia="仿宋_GB2312"/>
                <w:color w:val="000000"/>
                <w:kern w:val="0"/>
                <w:sz w:val="24"/>
                <w:szCs w:val="24"/>
              </w:rPr>
            </w:pPr>
          </w:p>
        </w:tc>
        <w:tc>
          <w:tcPr>
            <w:tcW w:w="700"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noWrap/>
            <w:vAlign w:val="center"/>
          </w:tcPr>
          <w:p>
            <w:pPr>
              <w:widowControl/>
              <w:jc w:val="center"/>
              <w:rPr>
                <w:rFonts w:ascii="Times New Roman" w:hAnsi="Times New Roman" w:eastAsia="仿宋_GB2312"/>
                <w:color w:val="000000"/>
                <w:kern w:val="0"/>
                <w:sz w:val="24"/>
                <w:szCs w:val="24"/>
              </w:rPr>
            </w:pPr>
          </w:p>
        </w:tc>
        <w:tc>
          <w:tcPr>
            <w:tcW w:w="701"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noWrap/>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7" w:hRule="atLeast"/>
        </w:trPr>
        <w:tc>
          <w:tcPr>
            <w:tcW w:w="456" w:type="dxa"/>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4</w:t>
            </w:r>
          </w:p>
        </w:tc>
        <w:tc>
          <w:tcPr>
            <w:tcW w:w="792" w:type="dxa"/>
            <w:vMerge w:val="restart"/>
            <w:noWrap/>
            <w:vAlign w:val="center"/>
          </w:tcPr>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规划编制</w:t>
            </w:r>
          </w:p>
        </w:tc>
        <w:tc>
          <w:tcPr>
            <w:tcW w:w="846" w:type="dxa"/>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城市、镇总体规划及同级的土地利用规划</w:t>
            </w:r>
          </w:p>
        </w:tc>
        <w:tc>
          <w:tcPr>
            <w:tcW w:w="1366" w:type="dxa"/>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规划批准文件、脱密后的文本</w:t>
            </w:r>
            <w:r>
              <w:rPr>
                <w:rFonts w:hint="eastAsia" w:ascii="Times New Roman" w:hAnsi="Times New Roman" w:eastAsia="仿宋_GB2312"/>
                <w:color w:val="000000"/>
                <w:kern w:val="0"/>
                <w:szCs w:val="21"/>
              </w:rPr>
              <w:t>及</w:t>
            </w:r>
            <w:r>
              <w:rPr>
                <w:rFonts w:ascii="Times New Roman" w:hAnsi="Times New Roman" w:eastAsia="仿宋_GB2312"/>
                <w:color w:val="000000"/>
                <w:kern w:val="0"/>
                <w:szCs w:val="21"/>
              </w:rPr>
              <w:t>图</w:t>
            </w:r>
            <w:r>
              <w:rPr>
                <w:rFonts w:hint="eastAsia" w:ascii="Times New Roman" w:hAnsi="Times New Roman" w:eastAsia="仿宋_GB2312"/>
                <w:color w:val="000000"/>
                <w:kern w:val="0"/>
                <w:szCs w:val="21"/>
              </w:rPr>
              <w:t>纸</w:t>
            </w:r>
            <w:r>
              <w:rPr>
                <w:rFonts w:ascii="Times New Roman" w:hAnsi="Times New Roman" w:eastAsia="仿宋_GB2312"/>
                <w:color w:val="000000"/>
                <w:kern w:val="0"/>
                <w:szCs w:val="21"/>
              </w:rPr>
              <w:t>等</w:t>
            </w:r>
          </w:p>
        </w:tc>
        <w:tc>
          <w:tcPr>
            <w:tcW w:w="1575" w:type="dxa"/>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《中华人民共和国土地管理法》《中华人民共和国城乡规划法》《中华人民共和国政府信息公开条例》</w:t>
            </w:r>
          </w:p>
        </w:tc>
        <w:tc>
          <w:tcPr>
            <w:tcW w:w="925" w:type="dxa"/>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noWrap/>
            <w:vAlign w:val="center"/>
          </w:tcPr>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rPr>
                <w:rFonts w:ascii="Times New Roman" w:hAnsi="Times New Roman" w:eastAsia="仿宋_GB2312"/>
                <w:color w:val="000000"/>
                <w:kern w:val="0"/>
                <w:sz w:val="18"/>
                <w:szCs w:val="18"/>
              </w:rPr>
            </w:pPr>
          </w:p>
        </w:tc>
        <w:tc>
          <w:tcPr>
            <w:tcW w:w="701"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noWrap/>
            <w:vAlign w:val="center"/>
          </w:tcPr>
          <w:p>
            <w:pPr>
              <w:widowControl/>
              <w:jc w:val="center"/>
              <w:rPr>
                <w:rFonts w:hint="eastAsia" w:ascii="Times New Roman" w:hAnsi="Times New Roman" w:eastAsia="仿宋_GB2312"/>
                <w:color w:val="000000"/>
                <w:kern w:val="0"/>
                <w:sz w:val="24"/>
                <w:szCs w:val="24"/>
              </w:rPr>
            </w:pPr>
          </w:p>
        </w:tc>
        <w:tc>
          <w:tcPr>
            <w:tcW w:w="700"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noWrap/>
            <w:vAlign w:val="center"/>
          </w:tcPr>
          <w:p>
            <w:pPr>
              <w:widowControl/>
              <w:jc w:val="center"/>
              <w:rPr>
                <w:rFonts w:ascii="Times New Roman" w:hAnsi="Times New Roman" w:eastAsia="仿宋_GB2312"/>
                <w:color w:val="000000"/>
                <w:kern w:val="0"/>
                <w:sz w:val="24"/>
                <w:szCs w:val="24"/>
              </w:rPr>
            </w:pPr>
          </w:p>
        </w:tc>
        <w:tc>
          <w:tcPr>
            <w:tcW w:w="701"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noWrap/>
            <w:vAlign w:val="center"/>
          </w:tcPr>
          <w:p>
            <w:pPr>
              <w:widowControl/>
              <w:jc w:val="center"/>
              <w:rPr>
                <w:rFonts w:ascii="Times New Roman"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 w:hRule="atLeast"/>
        </w:trPr>
        <w:tc>
          <w:tcPr>
            <w:tcW w:w="456" w:type="dxa"/>
            <w:noWrap/>
            <w:vAlign w:val="center"/>
          </w:tcPr>
          <w:p>
            <w:pPr>
              <w:widowControl/>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Cs w:val="21"/>
              </w:rPr>
              <w:t>5</w:t>
            </w:r>
          </w:p>
        </w:tc>
        <w:tc>
          <w:tcPr>
            <w:tcW w:w="792" w:type="dxa"/>
            <w:vMerge w:val="continue"/>
            <w:noWrap/>
            <w:vAlign w:val="center"/>
          </w:tcPr>
          <w:p>
            <w:pPr>
              <w:widowControl/>
              <w:jc w:val="left"/>
              <w:rPr>
                <w:rFonts w:ascii="Times New Roman" w:hAnsi="Times New Roman" w:eastAsia="仿宋_GB2312"/>
                <w:kern w:val="0"/>
                <w:szCs w:val="21"/>
              </w:rPr>
            </w:pPr>
          </w:p>
        </w:tc>
        <w:tc>
          <w:tcPr>
            <w:tcW w:w="846" w:type="dxa"/>
            <w:noWrap/>
            <w:vAlign w:val="center"/>
          </w:tcPr>
          <w:p>
            <w:pPr>
              <w:widowControl/>
              <w:jc w:val="center"/>
              <w:rPr>
                <w:rFonts w:hint="eastAsia" w:ascii="Times New Roman" w:hAnsi="Times New Roman" w:eastAsia="仿宋_GB2312"/>
                <w:color w:val="FF0000"/>
                <w:kern w:val="0"/>
                <w:szCs w:val="21"/>
              </w:rPr>
            </w:pPr>
            <w:r>
              <w:rPr>
                <w:rFonts w:hint="eastAsia" w:ascii="Times New Roman" w:hAnsi="Times New Roman" w:eastAsia="仿宋_GB2312"/>
                <w:color w:val="000000"/>
                <w:kern w:val="0"/>
                <w:szCs w:val="21"/>
              </w:rPr>
              <w:t>乡规划及同级的土地利用规划</w:t>
            </w:r>
          </w:p>
        </w:tc>
        <w:tc>
          <w:tcPr>
            <w:tcW w:w="1366" w:type="dxa"/>
            <w:noWrap/>
            <w:vAlign w:val="center"/>
          </w:tcPr>
          <w:p>
            <w:pPr>
              <w:widowControl/>
              <w:jc w:val="left"/>
              <w:rPr>
                <w:rFonts w:ascii="Times New Roman" w:hAnsi="Times New Roman" w:eastAsia="仿宋_GB2312"/>
                <w:color w:val="FF0000"/>
                <w:kern w:val="0"/>
                <w:szCs w:val="21"/>
              </w:rPr>
            </w:pPr>
            <w:r>
              <w:rPr>
                <w:rFonts w:ascii="Times New Roman" w:hAnsi="Times New Roman" w:eastAsia="仿宋_GB2312"/>
                <w:color w:val="000000"/>
                <w:kern w:val="0"/>
                <w:szCs w:val="21"/>
              </w:rPr>
              <w:t>脱密后的文本</w:t>
            </w:r>
            <w:r>
              <w:rPr>
                <w:rFonts w:hint="eastAsia" w:ascii="Times New Roman" w:hAnsi="Times New Roman" w:eastAsia="仿宋_GB2312"/>
                <w:color w:val="000000"/>
                <w:kern w:val="0"/>
                <w:szCs w:val="21"/>
              </w:rPr>
              <w:t>及图纸</w:t>
            </w:r>
            <w:r>
              <w:rPr>
                <w:rFonts w:ascii="Times New Roman" w:hAnsi="Times New Roman" w:eastAsia="仿宋_GB2312"/>
                <w:color w:val="000000"/>
                <w:kern w:val="0"/>
                <w:szCs w:val="21"/>
              </w:rPr>
              <w:t>等</w:t>
            </w:r>
          </w:p>
        </w:tc>
        <w:tc>
          <w:tcPr>
            <w:tcW w:w="1575" w:type="dxa"/>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《中华人民共和国土地管理法》《中华人民共和国城乡规划法》《中华人民共和国政府信息公开条例》</w:t>
            </w:r>
          </w:p>
        </w:tc>
        <w:tc>
          <w:tcPr>
            <w:tcW w:w="925" w:type="dxa"/>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noWrap/>
            <w:vAlign w:val="center"/>
          </w:tcPr>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rPr>
                <w:rFonts w:ascii="Times New Roman" w:hAnsi="Times New Roman" w:eastAsia="仿宋_GB2312"/>
                <w:color w:val="000000"/>
                <w:kern w:val="0"/>
                <w:sz w:val="18"/>
                <w:szCs w:val="18"/>
                <w:u w:val="single"/>
              </w:rPr>
            </w:pPr>
          </w:p>
        </w:tc>
        <w:tc>
          <w:tcPr>
            <w:tcW w:w="701"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noWrap/>
            <w:vAlign w:val="center"/>
          </w:tcPr>
          <w:p>
            <w:pPr>
              <w:widowControl/>
              <w:jc w:val="center"/>
              <w:rPr>
                <w:rFonts w:hint="eastAsia" w:ascii="Times New Roman" w:hAnsi="Times New Roman" w:eastAsia="仿宋_GB2312"/>
                <w:color w:val="000000"/>
                <w:kern w:val="0"/>
                <w:sz w:val="24"/>
                <w:szCs w:val="24"/>
              </w:rPr>
            </w:pPr>
          </w:p>
        </w:tc>
        <w:tc>
          <w:tcPr>
            <w:tcW w:w="700"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noWrap/>
            <w:vAlign w:val="center"/>
          </w:tcPr>
          <w:p>
            <w:pPr>
              <w:widowControl/>
              <w:jc w:val="center"/>
              <w:rPr>
                <w:rFonts w:ascii="Times New Roman" w:hAnsi="Times New Roman" w:eastAsia="仿宋_GB2312"/>
                <w:color w:val="000000"/>
                <w:kern w:val="0"/>
                <w:sz w:val="24"/>
                <w:szCs w:val="24"/>
              </w:rPr>
            </w:pPr>
          </w:p>
        </w:tc>
        <w:tc>
          <w:tcPr>
            <w:tcW w:w="701"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noWrap/>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仿宋_GB2312"/>
          <w:sz w:val="10"/>
          <w:szCs w:val="10"/>
        </w:rPr>
        <w:sectPr>
          <w:pgSz w:w="16838" w:h="11906" w:orient="landscape"/>
          <w:pgMar w:top="1418" w:right="1418" w:bottom="1134" w:left="1418" w:header="851" w:footer="992" w:gutter="0"/>
          <w:pgBorders>
            <w:top w:val="none" w:sz="0" w:space="0"/>
            <w:left w:val="none" w:sz="0" w:space="0"/>
            <w:bottom w:val="none" w:sz="0" w:space="0"/>
            <w:right w:val="none" w:sz="0" w:space="0"/>
          </w:pgBorders>
          <w:cols w:space="720" w:num="1"/>
          <w:docGrid w:type="lines" w:linePitch="312" w:charSpace="0"/>
        </w:sectPr>
      </w:pPr>
    </w:p>
    <w:tbl>
      <w:tblPr>
        <w:tblStyle w:val="5"/>
        <w:tblW w:w="1421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92"/>
        <w:gridCol w:w="846"/>
        <w:gridCol w:w="1366"/>
        <w:gridCol w:w="1785"/>
        <w:gridCol w:w="715"/>
        <w:gridCol w:w="1308"/>
        <w:gridCol w:w="2603"/>
        <w:gridCol w:w="701"/>
        <w:gridCol w:w="839"/>
        <w:gridCol w:w="700"/>
        <w:gridCol w:w="701"/>
        <w:gridCol w:w="70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3" w:hRule="atLeast"/>
        </w:trPr>
        <w:tc>
          <w:tcPr>
            <w:tcW w:w="456"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638" w:type="dxa"/>
            <w:gridSpan w:val="2"/>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366"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785"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715"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308"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3" w:hRule="atLeast"/>
        </w:trPr>
        <w:tc>
          <w:tcPr>
            <w:tcW w:w="456" w:type="dxa"/>
            <w:vMerge w:val="continue"/>
            <w:noWrap/>
            <w:vAlign w:val="center"/>
          </w:tcPr>
          <w:p>
            <w:pPr>
              <w:widowControl/>
              <w:jc w:val="center"/>
              <w:rPr>
                <w:rFonts w:ascii="Times New Roman" w:hAnsi="Times New Roman" w:eastAsia="仿宋_GB2312"/>
                <w:b/>
                <w:color w:val="000000"/>
                <w:kern w:val="0"/>
                <w:szCs w:val="21"/>
              </w:rPr>
            </w:pPr>
          </w:p>
        </w:tc>
        <w:tc>
          <w:tcPr>
            <w:tcW w:w="792"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一级事项</w:t>
            </w:r>
          </w:p>
        </w:tc>
        <w:tc>
          <w:tcPr>
            <w:tcW w:w="846"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二级事项</w:t>
            </w:r>
          </w:p>
        </w:tc>
        <w:tc>
          <w:tcPr>
            <w:tcW w:w="1366" w:type="dxa"/>
            <w:vMerge w:val="continue"/>
            <w:noWrap/>
            <w:vAlign w:val="center"/>
          </w:tcPr>
          <w:p>
            <w:pPr>
              <w:widowControl/>
              <w:jc w:val="center"/>
              <w:rPr>
                <w:rFonts w:ascii="Times New Roman" w:hAnsi="Times New Roman" w:eastAsia="仿宋_GB2312"/>
                <w:b/>
                <w:color w:val="000000"/>
                <w:kern w:val="0"/>
                <w:szCs w:val="21"/>
              </w:rPr>
            </w:pPr>
          </w:p>
        </w:tc>
        <w:tc>
          <w:tcPr>
            <w:tcW w:w="1785" w:type="dxa"/>
            <w:vMerge w:val="continue"/>
            <w:noWrap/>
            <w:vAlign w:val="center"/>
          </w:tcPr>
          <w:p>
            <w:pPr>
              <w:widowControl/>
              <w:jc w:val="center"/>
              <w:rPr>
                <w:rFonts w:ascii="Times New Roman" w:hAnsi="Times New Roman" w:eastAsia="仿宋_GB2312"/>
                <w:b/>
                <w:color w:val="000000"/>
                <w:kern w:val="0"/>
                <w:szCs w:val="21"/>
              </w:rPr>
            </w:pPr>
          </w:p>
        </w:tc>
        <w:tc>
          <w:tcPr>
            <w:tcW w:w="715" w:type="dxa"/>
            <w:vMerge w:val="continue"/>
            <w:noWrap/>
            <w:vAlign w:val="center"/>
          </w:tcPr>
          <w:p>
            <w:pPr>
              <w:widowControl/>
              <w:jc w:val="center"/>
              <w:rPr>
                <w:rFonts w:ascii="Times New Roman" w:hAnsi="Times New Roman" w:eastAsia="仿宋_GB2312"/>
                <w:b/>
                <w:color w:val="000000"/>
                <w:kern w:val="0"/>
                <w:szCs w:val="21"/>
              </w:rPr>
            </w:pPr>
          </w:p>
        </w:tc>
        <w:tc>
          <w:tcPr>
            <w:tcW w:w="1308" w:type="dxa"/>
            <w:vMerge w:val="continue"/>
            <w:noWrap/>
            <w:vAlign w:val="center"/>
          </w:tcPr>
          <w:p>
            <w:pPr>
              <w:widowControl/>
              <w:jc w:val="center"/>
              <w:rPr>
                <w:rFonts w:ascii="Times New Roman" w:hAnsi="Times New Roman" w:eastAsia="仿宋_GB2312"/>
                <w:b/>
                <w:color w:val="000000"/>
                <w:kern w:val="0"/>
                <w:szCs w:val="21"/>
              </w:rPr>
            </w:pPr>
          </w:p>
        </w:tc>
        <w:tc>
          <w:tcPr>
            <w:tcW w:w="2603" w:type="dxa"/>
            <w:vMerge w:val="continue"/>
            <w:noWrap/>
            <w:vAlign w:val="center"/>
          </w:tcPr>
          <w:p>
            <w:pPr>
              <w:widowControl/>
              <w:jc w:val="center"/>
              <w:rPr>
                <w:rFonts w:ascii="Times New Roman" w:hAnsi="Times New Roman" w:eastAsia="仿宋_GB2312"/>
                <w:b/>
                <w:color w:val="000000"/>
                <w:kern w:val="0"/>
                <w:szCs w:val="21"/>
              </w:rPr>
            </w:pPr>
          </w:p>
        </w:tc>
        <w:tc>
          <w:tcPr>
            <w:tcW w:w="701"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全社会</w:t>
            </w:r>
          </w:p>
        </w:tc>
        <w:tc>
          <w:tcPr>
            <w:tcW w:w="839"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特定群体</w:t>
            </w:r>
          </w:p>
        </w:tc>
        <w:tc>
          <w:tcPr>
            <w:tcW w:w="700"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主动</w:t>
            </w:r>
          </w:p>
        </w:tc>
        <w:tc>
          <w:tcPr>
            <w:tcW w:w="701"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依申请</w:t>
            </w:r>
          </w:p>
        </w:tc>
        <w:tc>
          <w:tcPr>
            <w:tcW w:w="701"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县级</w:t>
            </w:r>
          </w:p>
        </w:tc>
        <w:tc>
          <w:tcPr>
            <w:tcW w:w="701" w:type="dxa"/>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乡级</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390"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6</w:t>
            </w:r>
          </w:p>
        </w:tc>
        <w:tc>
          <w:tcPr>
            <w:tcW w:w="792" w:type="dxa"/>
            <w:vMerge w:val="restart"/>
            <w:tcBorders>
              <w:left w:val="nil"/>
              <w:right w:val="single" w:color="auto" w:sz="4" w:space="0"/>
            </w:tcBorders>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规划编制</w:t>
            </w:r>
          </w:p>
        </w:tc>
        <w:tc>
          <w:tcPr>
            <w:tcW w:w="846"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城市、镇详细规划</w:t>
            </w:r>
          </w:p>
        </w:tc>
        <w:tc>
          <w:tcPr>
            <w:tcW w:w="1366"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脱密后的文本及</w:t>
            </w:r>
            <w:r>
              <w:rPr>
                <w:rFonts w:hint="eastAsia" w:ascii="Times New Roman" w:hAnsi="Times New Roman" w:eastAsia="仿宋_GB2312"/>
                <w:color w:val="000000"/>
                <w:kern w:val="0"/>
                <w:szCs w:val="21"/>
              </w:rPr>
              <w:t>图表</w:t>
            </w:r>
            <w:r>
              <w:rPr>
                <w:rFonts w:ascii="Times New Roman" w:hAnsi="Times New Roman" w:eastAsia="仿宋_GB2312"/>
                <w:color w:val="000000"/>
                <w:kern w:val="0"/>
                <w:szCs w:val="21"/>
              </w:rPr>
              <w:t>等</w:t>
            </w:r>
          </w:p>
        </w:tc>
        <w:tc>
          <w:tcPr>
            <w:tcW w:w="178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71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rPr>
                <w:rFonts w:ascii="Times New Roman" w:hAnsi="Times New Roman" w:eastAsia="仿宋_GB2312"/>
                <w:color w:val="000000"/>
                <w:kern w:val="0"/>
                <w:sz w:val="18"/>
                <w:szCs w:val="18"/>
                <w:u w:val="single"/>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6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7</w:t>
            </w:r>
          </w:p>
        </w:tc>
        <w:tc>
          <w:tcPr>
            <w:tcW w:w="792"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p>
        </w:tc>
        <w:tc>
          <w:tcPr>
            <w:tcW w:w="846"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部分村庄编制完成的</w:t>
            </w:r>
            <w:r>
              <w:rPr>
                <w:rFonts w:ascii="Times New Roman" w:hAnsi="Times New Roman" w:eastAsia="仿宋_GB2312"/>
                <w:color w:val="000000"/>
                <w:kern w:val="0"/>
                <w:szCs w:val="21"/>
              </w:rPr>
              <w:t>村庄规划</w:t>
            </w:r>
            <w:r>
              <w:rPr>
                <w:rFonts w:hint="eastAsia" w:ascii="Times New Roman" w:hAnsi="Times New Roman" w:eastAsia="仿宋_GB2312"/>
                <w:color w:val="000000"/>
                <w:kern w:val="0"/>
                <w:szCs w:val="21"/>
              </w:rPr>
              <w:t>、村土地利用规划</w:t>
            </w:r>
          </w:p>
        </w:tc>
        <w:tc>
          <w:tcPr>
            <w:tcW w:w="1366"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脱密后的文本及附图等</w:t>
            </w:r>
          </w:p>
        </w:tc>
        <w:tc>
          <w:tcPr>
            <w:tcW w:w="178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《中华人民共和国土地管理法》《中华人民共和国城乡规划法》《中华人民共和国政府信息公开条例》</w:t>
            </w:r>
            <w:r>
              <w:rPr>
                <w:rFonts w:hint="eastAsia" w:ascii="Times New Roman" w:hAnsi="Times New Roman" w:eastAsia="仿宋_GB2312"/>
                <w:color w:val="000000"/>
                <w:kern w:val="0"/>
                <w:szCs w:val="21"/>
              </w:rPr>
              <w:t>《国土资源部关于有序开展村土地利用规划编制工作的指导意见》</w:t>
            </w:r>
          </w:p>
        </w:tc>
        <w:tc>
          <w:tcPr>
            <w:tcW w:w="71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两微一端</w:t>
            </w:r>
          </w:p>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社区/企事业单位/村公示栏（电子屏）</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仿宋_GB2312"/>
          <w:sz w:val="10"/>
          <w:szCs w:val="10"/>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tbl>
      <w:tblPr>
        <w:tblStyle w:val="5"/>
        <w:tblW w:w="14061" w:type="dxa"/>
        <w:tblInd w:w="113" w:type="dxa"/>
        <w:tblLayout w:type="autofit"/>
        <w:tblCellMar>
          <w:top w:w="0" w:type="dxa"/>
          <w:left w:w="108" w:type="dxa"/>
          <w:bottom w:w="0" w:type="dxa"/>
          <w:right w:w="108" w:type="dxa"/>
        </w:tblCellMar>
      </w:tblPr>
      <w:tblGrid>
        <w:gridCol w:w="456"/>
        <w:gridCol w:w="792"/>
        <w:gridCol w:w="693"/>
        <w:gridCol w:w="1598"/>
        <w:gridCol w:w="1134"/>
        <w:gridCol w:w="1134"/>
        <w:gridCol w:w="1308"/>
        <w:gridCol w:w="2603"/>
        <w:gridCol w:w="701"/>
        <w:gridCol w:w="839"/>
        <w:gridCol w:w="700"/>
        <w:gridCol w:w="701"/>
        <w:gridCol w:w="701"/>
        <w:gridCol w:w="701"/>
      </w:tblGrid>
      <w:tr>
        <w:tblPrEx>
          <w:tblCellMar>
            <w:top w:w="0" w:type="dxa"/>
            <w:left w:w="108" w:type="dxa"/>
            <w:bottom w:w="0" w:type="dxa"/>
            <w:right w:w="108" w:type="dxa"/>
          </w:tblCellMar>
        </w:tblPrEx>
        <w:trPr>
          <w:wBefore w:w="0" w:type="dxa"/>
          <w:wAfter w:w="0" w:type="dxa"/>
          <w:trHeight w:val="263" w:hRule="atLeast"/>
        </w:trPr>
        <w:tc>
          <w:tcPr>
            <w:tcW w:w="456" w:type="dxa"/>
            <w:vMerge w:val="restart"/>
            <w:tcBorders>
              <w:top w:val="single" w:color="auto" w:sz="4" w:space="0"/>
              <w:left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48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598"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134"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1134"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308"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CellMar>
            <w:top w:w="0" w:type="dxa"/>
            <w:left w:w="108" w:type="dxa"/>
            <w:bottom w:w="0" w:type="dxa"/>
            <w:right w:w="108" w:type="dxa"/>
          </w:tblCellMar>
        </w:tblPrEx>
        <w:trPr>
          <w:wBefore w:w="0" w:type="dxa"/>
          <w:wAfter w:w="0" w:type="dxa"/>
          <w:trHeight w:val="263" w:hRule="atLeast"/>
        </w:trPr>
        <w:tc>
          <w:tcPr>
            <w:tcW w:w="456" w:type="dxa"/>
            <w:vMerge w:val="continue"/>
            <w:tcBorders>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p>
        </w:tc>
        <w:tc>
          <w:tcPr>
            <w:tcW w:w="792"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一级事项</w:t>
            </w: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二级事项</w:t>
            </w:r>
          </w:p>
        </w:tc>
        <w:tc>
          <w:tcPr>
            <w:tcW w:w="1598"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p>
        </w:tc>
        <w:tc>
          <w:tcPr>
            <w:tcW w:w="1134"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p>
        </w:tc>
        <w:tc>
          <w:tcPr>
            <w:tcW w:w="1134"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p>
        </w:tc>
        <w:tc>
          <w:tcPr>
            <w:tcW w:w="1308"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p>
        </w:tc>
        <w:tc>
          <w:tcPr>
            <w:tcW w:w="2603"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全社会</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特定群体</w:t>
            </w: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主动</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依申请</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县级</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乡级</w:t>
            </w:r>
          </w:p>
        </w:tc>
      </w:tr>
      <w:tr>
        <w:tblPrEx>
          <w:tblCellMar>
            <w:top w:w="0" w:type="dxa"/>
            <w:left w:w="108" w:type="dxa"/>
            <w:bottom w:w="0" w:type="dxa"/>
            <w:right w:w="108" w:type="dxa"/>
          </w:tblCellMar>
        </w:tblPrEx>
        <w:trPr>
          <w:wBefore w:w="0" w:type="dxa"/>
          <w:wAfter w:w="0" w:type="dxa"/>
          <w:trHeight w:val="26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8</w:t>
            </w:r>
          </w:p>
        </w:tc>
        <w:tc>
          <w:tcPr>
            <w:tcW w:w="792"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规划许可</w:t>
            </w: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建设项目选址意见书</w:t>
            </w:r>
          </w:p>
        </w:tc>
        <w:tc>
          <w:tcPr>
            <w:tcW w:w="1598" w:type="dxa"/>
            <w:tcBorders>
              <w:top w:val="single" w:color="auto" w:sz="4" w:space="0"/>
              <w:left w:val="nil"/>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（涉密项目除外）</w:t>
            </w:r>
          </w:p>
        </w:tc>
        <w:tc>
          <w:tcPr>
            <w:tcW w:w="1134"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rPr>
                <w:rFonts w:ascii="Times New Roman" w:hAnsi="Times New Roman" w:eastAsia="仿宋_GB2312"/>
                <w:color w:val="000000"/>
                <w:kern w:val="0"/>
                <w:sz w:val="18"/>
                <w:szCs w:val="18"/>
                <w:u w:val="single"/>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社区/企事业单位/村公示栏（电子屏）</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r>
      <w:tr>
        <w:tblPrEx>
          <w:tblCellMar>
            <w:top w:w="0" w:type="dxa"/>
            <w:left w:w="108" w:type="dxa"/>
            <w:bottom w:w="0" w:type="dxa"/>
            <w:right w:w="108" w:type="dxa"/>
          </w:tblCellMar>
        </w:tblPrEx>
        <w:trPr>
          <w:wBefore w:w="0" w:type="dxa"/>
          <w:wAfter w:w="0" w:type="dxa"/>
          <w:trHeight w:val="26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9</w:t>
            </w:r>
          </w:p>
        </w:tc>
        <w:tc>
          <w:tcPr>
            <w:tcW w:w="792" w:type="dxa"/>
            <w:vMerge w:val="continue"/>
            <w:tcBorders>
              <w:left w:val="nil"/>
              <w:right w:val="single" w:color="auto" w:sz="4" w:space="0"/>
            </w:tcBorders>
            <w:noWrap/>
            <w:vAlign w:val="center"/>
          </w:tcPr>
          <w:p>
            <w:pPr>
              <w:widowControl/>
              <w:jc w:val="center"/>
              <w:rPr>
                <w:rFonts w:ascii="Times New Roman" w:hAnsi="Times New Roman" w:eastAsia="仿宋_GB2312"/>
                <w:color w:val="000000"/>
                <w:kern w:val="0"/>
                <w:szCs w:val="21"/>
              </w:rPr>
            </w:pP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建设用地规划许可证</w:t>
            </w:r>
          </w:p>
        </w:tc>
        <w:tc>
          <w:tcPr>
            <w:tcW w:w="1598"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（涉密项目除外）</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spacing w:line="26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spacing w:line="26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spacing w:line="260" w:lineRule="exact"/>
              <w:rPr>
                <w:rFonts w:ascii="Times New Roman" w:hAnsi="Times New Roman" w:eastAsia="仿宋_GB2312"/>
                <w:color w:val="000000"/>
                <w:kern w:val="0"/>
                <w:sz w:val="18"/>
                <w:szCs w:val="18"/>
                <w:u w:val="single"/>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社区/企事业单位/村公示栏（电子屏）</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r>
      <w:tr>
        <w:tblPrEx>
          <w:tblCellMar>
            <w:top w:w="0" w:type="dxa"/>
            <w:left w:w="108" w:type="dxa"/>
            <w:bottom w:w="0" w:type="dxa"/>
            <w:right w:w="108" w:type="dxa"/>
          </w:tblCellMar>
        </w:tblPrEx>
        <w:trPr>
          <w:wBefore w:w="0" w:type="dxa"/>
          <w:wAfter w:w="0" w:type="dxa"/>
          <w:trHeight w:val="26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10</w:t>
            </w:r>
          </w:p>
        </w:tc>
        <w:tc>
          <w:tcPr>
            <w:tcW w:w="792"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建设工程规划许可证</w:t>
            </w:r>
          </w:p>
        </w:tc>
        <w:tc>
          <w:tcPr>
            <w:tcW w:w="1598"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（涉密项目除外）</w:t>
            </w:r>
          </w:p>
        </w:tc>
        <w:tc>
          <w:tcPr>
            <w:tcW w:w="1134"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《中华人民共和国政府信息公开条例》</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spacing w:line="26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spacing w:line="26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spacing w:line="260" w:lineRule="exact"/>
              <w:rPr>
                <w:rFonts w:ascii="Times New Roman" w:hAnsi="Times New Roman" w:eastAsia="仿宋_GB2312"/>
                <w:color w:val="000000"/>
                <w:kern w:val="0"/>
                <w:sz w:val="18"/>
                <w:szCs w:val="18"/>
                <w:u w:val="single"/>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社区/企事业单位/村公示栏（电子屏）</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r>
      <w:tr>
        <w:tblPrEx>
          <w:tblCellMar>
            <w:top w:w="0" w:type="dxa"/>
            <w:left w:w="108" w:type="dxa"/>
            <w:bottom w:w="0" w:type="dxa"/>
            <w:right w:w="108" w:type="dxa"/>
          </w:tblCellMar>
        </w:tblPrEx>
        <w:trPr>
          <w:wBefore w:w="0" w:type="dxa"/>
          <w:wAfter w:w="0" w:type="dxa"/>
          <w:trHeight w:val="263" w:hRule="atLeast"/>
        </w:trPr>
        <w:tc>
          <w:tcPr>
            <w:tcW w:w="456" w:type="dxa"/>
            <w:vMerge w:val="restart"/>
            <w:tcBorders>
              <w:top w:val="single" w:color="auto" w:sz="4" w:space="0"/>
              <w:left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序</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号</w:t>
            </w:r>
          </w:p>
        </w:tc>
        <w:tc>
          <w:tcPr>
            <w:tcW w:w="148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公开事项</w:t>
            </w:r>
          </w:p>
        </w:tc>
        <w:tc>
          <w:tcPr>
            <w:tcW w:w="1598"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公开内容</w:t>
            </w:r>
          </w:p>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（要素）</w:t>
            </w:r>
          </w:p>
        </w:tc>
        <w:tc>
          <w:tcPr>
            <w:tcW w:w="1134"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公开依据</w:t>
            </w:r>
          </w:p>
        </w:tc>
        <w:tc>
          <w:tcPr>
            <w:tcW w:w="1134"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公开时限</w:t>
            </w:r>
          </w:p>
        </w:tc>
        <w:tc>
          <w:tcPr>
            <w:tcW w:w="1308"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公开主体</w:t>
            </w:r>
          </w:p>
        </w:tc>
        <w:tc>
          <w:tcPr>
            <w:tcW w:w="2603" w:type="dxa"/>
            <w:vMerge w:val="restart"/>
            <w:tcBorders>
              <w:top w:val="single" w:color="auto" w:sz="4" w:space="0"/>
              <w:left w:val="nil"/>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公开渠道和载体</w:t>
            </w:r>
          </w:p>
        </w:tc>
        <w:tc>
          <w:tcPr>
            <w:tcW w:w="1540"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公开对象</w:t>
            </w:r>
          </w:p>
        </w:tc>
        <w:tc>
          <w:tcPr>
            <w:tcW w:w="1401"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公开方式</w:t>
            </w:r>
          </w:p>
        </w:tc>
        <w:tc>
          <w:tcPr>
            <w:tcW w:w="1402"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b/>
                <w:color w:val="000000"/>
                <w:kern w:val="0"/>
                <w:szCs w:val="21"/>
              </w:rPr>
            </w:pPr>
            <w:r>
              <w:rPr>
                <w:rFonts w:ascii="Times New Roman" w:hAnsi="Times New Roman" w:eastAsia="仿宋_GB2312"/>
                <w:b/>
                <w:color w:val="000000"/>
                <w:kern w:val="0"/>
                <w:szCs w:val="21"/>
              </w:rPr>
              <w:t>公开层级</w:t>
            </w:r>
          </w:p>
        </w:tc>
      </w:tr>
      <w:tr>
        <w:tblPrEx>
          <w:tblCellMar>
            <w:top w:w="0" w:type="dxa"/>
            <w:left w:w="108" w:type="dxa"/>
            <w:bottom w:w="0" w:type="dxa"/>
            <w:right w:w="108" w:type="dxa"/>
          </w:tblCellMar>
        </w:tblPrEx>
        <w:trPr>
          <w:wBefore w:w="0" w:type="dxa"/>
          <w:wAfter w:w="0" w:type="dxa"/>
          <w:trHeight w:val="263" w:hRule="atLeast"/>
        </w:trPr>
        <w:tc>
          <w:tcPr>
            <w:tcW w:w="456"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Cs w:val="21"/>
              </w:rPr>
            </w:pPr>
          </w:p>
        </w:tc>
        <w:tc>
          <w:tcPr>
            <w:tcW w:w="792"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b/>
                <w:color w:val="000000"/>
                <w:kern w:val="0"/>
                <w:szCs w:val="21"/>
              </w:rPr>
              <w:t>一级事项</w:t>
            </w: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b/>
                <w:color w:val="000000"/>
                <w:kern w:val="0"/>
                <w:szCs w:val="21"/>
              </w:rPr>
              <w:t>二级事项</w:t>
            </w:r>
          </w:p>
        </w:tc>
        <w:tc>
          <w:tcPr>
            <w:tcW w:w="1598" w:type="dxa"/>
            <w:vMerge w:val="continue"/>
            <w:tcBorders>
              <w:left w:val="nil"/>
              <w:bottom w:val="single" w:color="auto" w:sz="4" w:space="0"/>
              <w:right w:val="single" w:color="auto" w:sz="4" w:space="0"/>
            </w:tcBorders>
            <w:noWrap/>
            <w:vAlign w:val="center"/>
          </w:tcPr>
          <w:p>
            <w:pPr>
              <w:widowControl/>
              <w:spacing w:line="260" w:lineRule="exact"/>
              <w:jc w:val="left"/>
              <w:rPr>
                <w:rFonts w:ascii="Times New Roman" w:hAnsi="Times New Roman" w:eastAsia="仿宋_GB2312"/>
                <w:color w:val="000000"/>
                <w:kern w:val="0"/>
                <w:szCs w:val="21"/>
              </w:rPr>
            </w:pPr>
          </w:p>
        </w:tc>
        <w:tc>
          <w:tcPr>
            <w:tcW w:w="1134" w:type="dxa"/>
            <w:vMerge w:val="continue"/>
            <w:tcBorders>
              <w:left w:val="nil"/>
              <w:bottom w:val="single" w:color="auto" w:sz="4" w:space="0"/>
              <w:right w:val="single" w:color="auto" w:sz="4" w:space="0"/>
            </w:tcBorders>
            <w:noWrap/>
            <w:vAlign w:val="center"/>
          </w:tcPr>
          <w:p>
            <w:pPr>
              <w:widowControl/>
              <w:spacing w:line="260" w:lineRule="exact"/>
              <w:jc w:val="left"/>
              <w:rPr>
                <w:rFonts w:ascii="Times New Roman" w:hAnsi="Times New Roman" w:eastAsia="仿宋_GB2312"/>
                <w:color w:val="000000"/>
                <w:kern w:val="0"/>
                <w:szCs w:val="21"/>
              </w:rPr>
            </w:pPr>
          </w:p>
        </w:tc>
        <w:tc>
          <w:tcPr>
            <w:tcW w:w="1134"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p>
        </w:tc>
        <w:tc>
          <w:tcPr>
            <w:tcW w:w="1308" w:type="dxa"/>
            <w:vMerge w:val="continue"/>
            <w:tcBorders>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p>
        </w:tc>
        <w:tc>
          <w:tcPr>
            <w:tcW w:w="2603" w:type="dxa"/>
            <w:vMerge w:val="continue"/>
            <w:tcBorders>
              <w:left w:val="nil"/>
              <w:bottom w:val="single" w:color="auto" w:sz="4" w:space="0"/>
              <w:right w:val="single" w:color="auto" w:sz="4" w:space="0"/>
            </w:tcBorders>
            <w:noWrap/>
            <w:vAlign w:val="center"/>
          </w:tcPr>
          <w:p>
            <w:pPr>
              <w:widowControl/>
              <w:rPr>
                <w:rFonts w:ascii="Times New Roman" w:hAnsi="Times New Roman" w:eastAsia="仿宋_GB2312"/>
                <w:color w:val="000000"/>
                <w:kern w:val="0"/>
                <w:sz w:val="18"/>
                <w:szCs w:val="18"/>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全社会</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特定群体</w:t>
            </w: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主动</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依申请</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县级</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b/>
                <w:color w:val="000000"/>
                <w:kern w:val="0"/>
                <w:szCs w:val="21"/>
              </w:rPr>
              <w:t>乡级</w:t>
            </w:r>
          </w:p>
        </w:tc>
      </w:tr>
      <w:tr>
        <w:tblPrEx>
          <w:tblCellMar>
            <w:top w:w="0" w:type="dxa"/>
            <w:left w:w="108" w:type="dxa"/>
            <w:bottom w:w="0" w:type="dxa"/>
            <w:right w:w="108" w:type="dxa"/>
          </w:tblCellMar>
        </w:tblPrEx>
        <w:trPr>
          <w:wBefore w:w="0" w:type="dxa"/>
          <w:wAfter w:w="0" w:type="dxa"/>
          <w:trHeight w:val="26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11</w:t>
            </w:r>
          </w:p>
        </w:tc>
        <w:tc>
          <w:tcPr>
            <w:tcW w:w="792"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规划许可</w:t>
            </w: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乡村建设规划许可证</w:t>
            </w:r>
          </w:p>
        </w:tc>
        <w:tc>
          <w:tcPr>
            <w:tcW w:w="1598"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新办、变更、延续、补证、注销的办理情况</w:t>
            </w:r>
          </w:p>
        </w:tc>
        <w:tc>
          <w:tcPr>
            <w:tcW w:w="1134" w:type="dxa"/>
            <w:tcBorders>
              <w:top w:val="single" w:color="auto" w:sz="4" w:space="0"/>
              <w:left w:val="nil"/>
              <w:bottom w:val="single" w:color="auto" w:sz="4" w:space="0"/>
              <w:right w:val="single" w:color="auto" w:sz="4" w:space="0"/>
            </w:tcBorders>
            <w:noWrap/>
            <w:vAlign w:val="center"/>
          </w:tcPr>
          <w:p>
            <w:pPr>
              <w:widowControl/>
              <w:spacing w:line="260" w:lineRule="exact"/>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rPr>
                <w:rFonts w:ascii="Times New Roman" w:hAnsi="Times New Roman" w:eastAsia="仿宋_GB2312"/>
                <w:color w:val="000000"/>
                <w:kern w:val="0"/>
                <w:sz w:val="18"/>
                <w:szCs w:val="18"/>
                <w:u w:val="single"/>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社区/企事业单位/村公示栏（电子屏）</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r>
      <w:tr>
        <w:tblPrEx>
          <w:tblCellMar>
            <w:top w:w="0" w:type="dxa"/>
            <w:left w:w="108" w:type="dxa"/>
            <w:bottom w:w="0" w:type="dxa"/>
            <w:right w:w="108" w:type="dxa"/>
          </w:tblCellMar>
        </w:tblPrEx>
        <w:trPr>
          <w:wBefore w:w="0" w:type="dxa"/>
          <w:wAfter w:w="0" w:type="dxa"/>
          <w:trHeight w:val="1074"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12</w:t>
            </w:r>
          </w:p>
        </w:tc>
        <w:tc>
          <w:tcPr>
            <w:tcW w:w="79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行政处罚</w:t>
            </w: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行政处罚基本信息</w:t>
            </w:r>
          </w:p>
        </w:tc>
        <w:tc>
          <w:tcPr>
            <w:tcW w:w="1598"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执法主体、执法人员姓名及证件编号、职责、权限、查处依据、工作程序、救济渠道和随机抽查事项清单等信息</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r>
              <w:rPr>
                <w:rFonts w:ascii="Times New Roman" w:hAnsi="Times New Roman" w:eastAsia="仿宋_GB2312"/>
              </w:rPr>
              <w:t>关于全面推行行政执法公示制度执法全过程记录制度重大执法决定法制审核制度的指导意见</w:t>
            </w:r>
            <w:r>
              <w:rPr>
                <w:rFonts w:ascii="Times New Roman" w:hAnsi="Times New Roman" w:eastAsia="仿宋_GB2312"/>
                <w:color w:val="000000"/>
                <w:kern w:val="0"/>
                <w:szCs w:val="21"/>
              </w:rPr>
              <w:t>》</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信息形成或者变更之日起20个工作日内</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spacing w:line="26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spacing w:line="26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spacing w:line="260" w:lineRule="exact"/>
              <w:rPr>
                <w:rFonts w:ascii="Times New Roman" w:hAnsi="Times New Roman" w:eastAsia="仿宋_GB2312"/>
                <w:color w:val="000000"/>
                <w:kern w:val="0"/>
                <w:sz w:val="18"/>
                <w:szCs w:val="18"/>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r>
      <w:tr>
        <w:tblPrEx>
          <w:tblCellMar>
            <w:top w:w="0" w:type="dxa"/>
            <w:left w:w="108" w:type="dxa"/>
            <w:bottom w:w="0" w:type="dxa"/>
            <w:right w:w="108" w:type="dxa"/>
          </w:tblCellMar>
        </w:tblPrEx>
        <w:trPr>
          <w:wBefore w:w="0" w:type="dxa"/>
          <w:wAfter w:w="0" w:type="dxa"/>
          <w:trHeight w:val="263" w:hRule="atLeast"/>
        </w:trPr>
        <w:tc>
          <w:tcPr>
            <w:tcW w:w="4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13</w:t>
            </w:r>
          </w:p>
        </w:tc>
        <w:tc>
          <w:tcPr>
            <w:tcW w:w="792"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行政处罚</w:t>
            </w:r>
          </w:p>
        </w:tc>
        <w:tc>
          <w:tcPr>
            <w:tcW w:w="693"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事后公开</w:t>
            </w:r>
          </w:p>
        </w:tc>
        <w:tc>
          <w:tcPr>
            <w:tcW w:w="1598"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作出的行政处罚决定信息（法律、行政法规另有规定的除外）</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《中华人民共和国城乡规划法》《中华人民共和国政府信息公开条例》《</w:t>
            </w:r>
            <w:r>
              <w:rPr>
                <w:rFonts w:ascii="Times New Roman" w:hAnsi="Times New Roman" w:eastAsia="仿宋_GB2312"/>
              </w:rPr>
              <w:t>关于全面推行行政执法公示制度执法全过程记录制度重大执法决定法制审核制度的指导意见</w:t>
            </w:r>
            <w:r>
              <w:rPr>
                <w:rFonts w:ascii="Times New Roman" w:hAnsi="Times New Roman" w:eastAsia="仿宋_GB2312"/>
                <w:color w:val="000000"/>
                <w:kern w:val="0"/>
                <w:szCs w:val="21"/>
              </w:rPr>
              <w:t>》</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7个工作日</w:t>
            </w:r>
          </w:p>
        </w:tc>
        <w:tc>
          <w:tcPr>
            <w:tcW w:w="130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自然资源管理部门</w:t>
            </w:r>
          </w:p>
        </w:tc>
        <w:tc>
          <w:tcPr>
            <w:tcW w:w="2603" w:type="dxa"/>
            <w:tcBorders>
              <w:top w:val="single" w:color="auto" w:sz="4" w:space="0"/>
              <w:left w:val="nil"/>
              <w:bottom w:val="single" w:color="auto" w:sz="4" w:space="0"/>
              <w:right w:val="single" w:color="auto" w:sz="4" w:space="0"/>
            </w:tcBorders>
            <w:noWrap/>
            <w:vAlign w:val="center"/>
          </w:tcPr>
          <w:p>
            <w:pPr>
              <w:widowControl/>
              <w:spacing w:line="26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政府网站 </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 xml:space="preserve">两微一端 </w:t>
            </w:r>
          </w:p>
          <w:p>
            <w:pPr>
              <w:widowControl/>
              <w:spacing w:line="260" w:lineRule="exac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公开查阅点</w:t>
            </w:r>
            <w:r>
              <w:rPr>
                <w:rFonts w:hint="eastAsia" w:ascii="Times New Roman" w:hAnsi="Times New Roman" w:eastAsia="仿宋_GB2312"/>
                <w:color w:val="000000"/>
                <w:kern w:val="0"/>
                <w:sz w:val="15"/>
                <w:szCs w:val="15"/>
                <w:lang w:eastAsia="zh-CN"/>
              </w:rPr>
              <w:t>■</w:t>
            </w:r>
            <w:r>
              <w:rPr>
                <w:rFonts w:ascii="Times New Roman" w:hAnsi="Times New Roman" w:eastAsia="仿宋_GB2312"/>
                <w:color w:val="000000"/>
                <w:kern w:val="0"/>
                <w:sz w:val="18"/>
                <w:szCs w:val="18"/>
              </w:rPr>
              <w:t>政府服务中心</w:t>
            </w:r>
          </w:p>
          <w:p>
            <w:pPr>
              <w:widowControl/>
              <w:spacing w:line="260" w:lineRule="exact"/>
              <w:rPr>
                <w:rFonts w:ascii="Times New Roman" w:hAnsi="Times New Roman" w:eastAsia="仿宋_GB2312"/>
                <w:color w:val="000000"/>
                <w:kern w:val="0"/>
                <w:sz w:val="18"/>
                <w:szCs w:val="18"/>
                <w:u w:val="single"/>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839"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 w:val="24"/>
                <w:szCs w:val="24"/>
              </w:rPr>
            </w:pPr>
          </w:p>
        </w:tc>
      </w:tr>
    </w:tbl>
    <w:p>
      <w:pPr>
        <w:rPr>
          <w:rFonts w:ascii="Times New Roman" w:hAnsi="Times New Roman" w:eastAsia="仿宋_GB2312"/>
          <w:sz w:val="10"/>
          <w:szCs w:val="10"/>
        </w:rPr>
      </w:pPr>
    </w:p>
    <w:sectPr>
      <w:pgSz w:w="16838" w:h="11906" w:orient="landscape"/>
      <w:pgMar w:top="1800" w:right="1440" w:bottom="2142"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9E"/>
    <w:rsid w:val="000014AE"/>
    <w:rsid w:val="000326B3"/>
    <w:rsid w:val="000351B4"/>
    <w:rsid w:val="000536D8"/>
    <w:rsid w:val="000565A7"/>
    <w:rsid w:val="00056F58"/>
    <w:rsid w:val="00061B02"/>
    <w:rsid w:val="00063187"/>
    <w:rsid w:val="0008122B"/>
    <w:rsid w:val="0008162B"/>
    <w:rsid w:val="00092B2B"/>
    <w:rsid w:val="000A092D"/>
    <w:rsid w:val="000A7919"/>
    <w:rsid w:val="000C607A"/>
    <w:rsid w:val="000D1B87"/>
    <w:rsid w:val="00104485"/>
    <w:rsid w:val="00123789"/>
    <w:rsid w:val="00123D1D"/>
    <w:rsid w:val="00124FAF"/>
    <w:rsid w:val="00140FF1"/>
    <w:rsid w:val="001450B0"/>
    <w:rsid w:val="0015050E"/>
    <w:rsid w:val="00154114"/>
    <w:rsid w:val="001574F3"/>
    <w:rsid w:val="00167526"/>
    <w:rsid w:val="00175468"/>
    <w:rsid w:val="001807AE"/>
    <w:rsid w:val="00181360"/>
    <w:rsid w:val="00192CD4"/>
    <w:rsid w:val="001949E8"/>
    <w:rsid w:val="001A1F10"/>
    <w:rsid w:val="001C7668"/>
    <w:rsid w:val="001D4084"/>
    <w:rsid w:val="001E3779"/>
    <w:rsid w:val="001E7655"/>
    <w:rsid w:val="002049F5"/>
    <w:rsid w:val="00206F72"/>
    <w:rsid w:val="002124D0"/>
    <w:rsid w:val="00217CEB"/>
    <w:rsid w:val="0022155E"/>
    <w:rsid w:val="0024211B"/>
    <w:rsid w:val="00247729"/>
    <w:rsid w:val="002607BB"/>
    <w:rsid w:val="00276B3F"/>
    <w:rsid w:val="00292468"/>
    <w:rsid w:val="002A0DB1"/>
    <w:rsid w:val="002B3689"/>
    <w:rsid w:val="002B43DF"/>
    <w:rsid w:val="002C5325"/>
    <w:rsid w:val="002D3915"/>
    <w:rsid w:val="002F550D"/>
    <w:rsid w:val="00303336"/>
    <w:rsid w:val="00303CAD"/>
    <w:rsid w:val="00316506"/>
    <w:rsid w:val="00330456"/>
    <w:rsid w:val="00335629"/>
    <w:rsid w:val="00336B1F"/>
    <w:rsid w:val="00345BD7"/>
    <w:rsid w:val="00355B2A"/>
    <w:rsid w:val="003704B0"/>
    <w:rsid w:val="0037518A"/>
    <w:rsid w:val="00392EF3"/>
    <w:rsid w:val="00395A34"/>
    <w:rsid w:val="003B4536"/>
    <w:rsid w:val="003D5A08"/>
    <w:rsid w:val="003D62CC"/>
    <w:rsid w:val="003E335F"/>
    <w:rsid w:val="004127A9"/>
    <w:rsid w:val="00415A80"/>
    <w:rsid w:val="004170CA"/>
    <w:rsid w:val="004207B2"/>
    <w:rsid w:val="00442817"/>
    <w:rsid w:val="00453D46"/>
    <w:rsid w:val="00454645"/>
    <w:rsid w:val="00457EC0"/>
    <w:rsid w:val="00470389"/>
    <w:rsid w:val="0049567E"/>
    <w:rsid w:val="004A0077"/>
    <w:rsid w:val="004A195F"/>
    <w:rsid w:val="004A6058"/>
    <w:rsid w:val="004B3F7B"/>
    <w:rsid w:val="004B732A"/>
    <w:rsid w:val="004C0197"/>
    <w:rsid w:val="004C7FB7"/>
    <w:rsid w:val="00512B33"/>
    <w:rsid w:val="005239D0"/>
    <w:rsid w:val="00535A81"/>
    <w:rsid w:val="005468BB"/>
    <w:rsid w:val="005519AB"/>
    <w:rsid w:val="00553555"/>
    <w:rsid w:val="005611AB"/>
    <w:rsid w:val="00561F15"/>
    <w:rsid w:val="00562031"/>
    <w:rsid w:val="00563296"/>
    <w:rsid w:val="00573023"/>
    <w:rsid w:val="005862C5"/>
    <w:rsid w:val="0059015D"/>
    <w:rsid w:val="00590519"/>
    <w:rsid w:val="00591599"/>
    <w:rsid w:val="005A2268"/>
    <w:rsid w:val="005C16A1"/>
    <w:rsid w:val="005C5492"/>
    <w:rsid w:val="005C5BE5"/>
    <w:rsid w:val="005E15C1"/>
    <w:rsid w:val="0060725C"/>
    <w:rsid w:val="00622DA9"/>
    <w:rsid w:val="0062443C"/>
    <w:rsid w:val="00636309"/>
    <w:rsid w:val="0063708B"/>
    <w:rsid w:val="00637B8C"/>
    <w:rsid w:val="0064030E"/>
    <w:rsid w:val="00652172"/>
    <w:rsid w:val="0066209E"/>
    <w:rsid w:val="006630F0"/>
    <w:rsid w:val="00681673"/>
    <w:rsid w:val="00681EB0"/>
    <w:rsid w:val="006B5184"/>
    <w:rsid w:val="006C7CD6"/>
    <w:rsid w:val="006E4CD2"/>
    <w:rsid w:val="007216C3"/>
    <w:rsid w:val="0077250A"/>
    <w:rsid w:val="00776481"/>
    <w:rsid w:val="007840C7"/>
    <w:rsid w:val="00794B4E"/>
    <w:rsid w:val="007B37C9"/>
    <w:rsid w:val="007C1F84"/>
    <w:rsid w:val="007C42CD"/>
    <w:rsid w:val="007D5BD1"/>
    <w:rsid w:val="00803432"/>
    <w:rsid w:val="008063EE"/>
    <w:rsid w:val="008238E1"/>
    <w:rsid w:val="0085460E"/>
    <w:rsid w:val="0085498A"/>
    <w:rsid w:val="0086199E"/>
    <w:rsid w:val="008656AF"/>
    <w:rsid w:val="00881B64"/>
    <w:rsid w:val="008827F6"/>
    <w:rsid w:val="008A09DD"/>
    <w:rsid w:val="008A7B27"/>
    <w:rsid w:val="008B163D"/>
    <w:rsid w:val="008B2A87"/>
    <w:rsid w:val="008C1BCC"/>
    <w:rsid w:val="008D7250"/>
    <w:rsid w:val="008E044D"/>
    <w:rsid w:val="008F233B"/>
    <w:rsid w:val="009051A5"/>
    <w:rsid w:val="009123D5"/>
    <w:rsid w:val="0091719C"/>
    <w:rsid w:val="00926FA3"/>
    <w:rsid w:val="0093278D"/>
    <w:rsid w:val="009518EB"/>
    <w:rsid w:val="00952F29"/>
    <w:rsid w:val="00955772"/>
    <w:rsid w:val="0096275B"/>
    <w:rsid w:val="00964AD8"/>
    <w:rsid w:val="00973D97"/>
    <w:rsid w:val="009764DE"/>
    <w:rsid w:val="009D0D09"/>
    <w:rsid w:val="009D495C"/>
    <w:rsid w:val="009E3775"/>
    <w:rsid w:val="009E43D8"/>
    <w:rsid w:val="009F29D1"/>
    <w:rsid w:val="009F67EA"/>
    <w:rsid w:val="00A010FA"/>
    <w:rsid w:val="00A0132E"/>
    <w:rsid w:val="00A134AD"/>
    <w:rsid w:val="00A2705D"/>
    <w:rsid w:val="00A333BD"/>
    <w:rsid w:val="00A50B01"/>
    <w:rsid w:val="00A51A28"/>
    <w:rsid w:val="00A526A5"/>
    <w:rsid w:val="00A53A72"/>
    <w:rsid w:val="00A65FBC"/>
    <w:rsid w:val="00A75882"/>
    <w:rsid w:val="00A83EFD"/>
    <w:rsid w:val="00A93A8E"/>
    <w:rsid w:val="00AA098F"/>
    <w:rsid w:val="00AA2389"/>
    <w:rsid w:val="00AA25EC"/>
    <w:rsid w:val="00AD0701"/>
    <w:rsid w:val="00AD0E94"/>
    <w:rsid w:val="00AF32A9"/>
    <w:rsid w:val="00B12BDA"/>
    <w:rsid w:val="00B2069E"/>
    <w:rsid w:val="00B3600D"/>
    <w:rsid w:val="00B365AC"/>
    <w:rsid w:val="00B402D7"/>
    <w:rsid w:val="00B439D8"/>
    <w:rsid w:val="00B5767A"/>
    <w:rsid w:val="00B6660E"/>
    <w:rsid w:val="00B8475F"/>
    <w:rsid w:val="00BA7537"/>
    <w:rsid w:val="00BB6299"/>
    <w:rsid w:val="00BD5ABE"/>
    <w:rsid w:val="00BE1B96"/>
    <w:rsid w:val="00BE498A"/>
    <w:rsid w:val="00BF2A08"/>
    <w:rsid w:val="00BF7ADA"/>
    <w:rsid w:val="00C063B7"/>
    <w:rsid w:val="00C1222A"/>
    <w:rsid w:val="00C249AC"/>
    <w:rsid w:val="00C3794D"/>
    <w:rsid w:val="00C45B3D"/>
    <w:rsid w:val="00C53735"/>
    <w:rsid w:val="00C800C1"/>
    <w:rsid w:val="00C826AD"/>
    <w:rsid w:val="00C9017D"/>
    <w:rsid w:val="00CA26BA"/>
    <w:rsid w:val="00CC18D5"/>
    <w:rsid w:val="00CC203A"/>
    <w:rsid w:val="00CC31C8"/>
    <w:rsid w:val="00CD0874"/>
    <w:rsid w:val="00CE163B"/>
    <w:rsid w:val="00CE3AE4"/>
    <w:rsid w:val="00CF3DF9"/>
    <w:rsid w:val="00D30554"/>
    <w:rsid w:val="00D3598B"/>
    <w:rsid w:val="00D378AA"/>
    <w:rsid w:val="00D40ABD"/>
    <w:rsid w:val="00D41402"/>
    <w:rsid w:val="00D65FE2"/>
    <w:rsid w:val="00D67F4B"/>
    <w:rsid w:val="00D90279"/>
    <w:rsid w:val="00D90355"/>
    <w:rsid w:val="00D97002"/>
    <w:rsid w:val="00DB46F6"/>
    <w:rsid w:val="00DC7162"/>
    <w:rsid w:val="00DD46CE"/>
    <w:rsid w:val="00DF19CB"/>
    <w:rsid w:val="00DF20FC"/>
    <w:rsid w:val="00DF3927"/>
    <w:rsid w:val="00E0044D"/>
    <w:rsid w:val="00E129EB"/>
    <w:rsid w:val="00E13530"/>
    <w:rsid w:val="00E309DF"/>
    <w:rsid w:val="00E332F4"/>
    <w:rsid w:val="00E3569C"/>
    <w:rsid w:val="00E405EC"/>
    <w:rsid w:val="00E727D2"/>
    <w:rsid w:val="00E82A60"/>
    <w:rsid w:val="00E9100C"/>
    <w:rsid w:val="00E92FCC"/>
    <w:rsid w:val="00EA151A"/>
    <w:rsid w:val="00EA7B22"/>
    <w:rsid w:val="00EB672C"/>
    <w:rsid w:val="00ED536F"/>
    <w:rsid w:val="00EE0408"/>
    <w:rsid w:val="00EF696B"/>
    <w:rsid w:val="00F12B5E"/>
    <w:rsid w:val="00F50F06"/>
    <w:rsid w:val="00F57427"/>
    <w:rsid w:val="00F6196B"/>
    <w:rsid w:val="00F71F05"/>
    <w:rsid w:val="00F801D6"/>
    <w:rsid w:val="00F80668"/>
    <w:rsid w:val="00F83690"/>
    <w:rsid w:val="00F83CD0"/>
    <w:rsid w:val="00F90723"/>
    <w:rsid w:val="00FC63DD"/>
    <w:rsid w:val="00FD52F0"/>
    <w:rsid w:val="00FE3E0D"/>
    <w:rsid w:val="05427B98"/>
    <w:rsid w:val="0E076A13"/>
    <w:rsid w:val="2FA8313C"/>
    <w:rsid w:val="30D85554"/>
    <w:rsid w:val="33F40849"/>
    <w:rsid w:val="384029B4"/>
    <w:rsid w:val="3E95152D"/>
    <w:rsid w:val="4DC701BA"/>
    <w:rsid w:val="52BD4F79"/>
    <w:rsid w:val="546365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 Char"/>
    <w:basedOn w:val="1"/>
    <w:uiPriority w:val="0"/>
    <w:pPr>
      <w:spacing w:after="160" w:line="240" w:lineRule="exact"/>
    </w:pPr>
    <w:rPr>
      <w:rFonts w:ascii="Times New Roman" w:hAnsi="Times New Roman"/>
      <w:szCs w:val="24"/>
    </w:rPr>
  </w:style>
  <w:style w:type="paragraph" w:customStyle="1" w:styleId="8">
    <w:name w:val="Char1 Char Char Char"/>
    <w:basedOn w:val="1"/>
    <w:semiHidden/>
    <w:uiPriority w:val="0"/>
    <w:rPr>
      <w:rFonts w:ascii="Times New Roman" w:hAnsi="Times New Roman" w:eastAsia="仿宋_GB2312"/>
      <w:sz w:val="32"/>
      <w:szCs w:val="32"/>
    </w:rPr>
  </w:style>
  <w:style w:type="paragraph" w:customStyle="1" w:styleId="9">
    <w:name w:val="列出段落"/>
    <w:basedOn w:val="1"/>
    <w:qFormat/>
    <w:uiPriority w:val="34"/>
    <w:pPr>
      <w:ind w:firstLine="420" w:firstLineChars="200"/>
    </w:pPr>
  </w:style>
  <w:style w:type="character" w:customStyle="1" w:styleId="10">
    <w:name w:val=" Char Char1"/>
    <w:link w:val="4"/>
    <w:uiPriority w:val="99"/>
    <w:rPr>
      <w:kern w:val="2"/>
      <w:sz w:val="18"/>
      <w:szCs w:val="18"/>
    </w:rPr>
  </w:style>
  <w:style w:type="character" w:customStyle="1" w:styleId="11">
    <w:name w:val=" Char Char"/>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6</Pages>
  <Words>509</Words>
  <Characters>2904</Characters>
  <Lines>24</Lines>
  <Paragraphs>6</Paragraphs>
  <TotalTime>25</TotalTime>
  <ScaleCrop>false</ScaleCrop>
  <LinksUpToDate>false</LinksUpToDate>
  <CharactersWithSpaces>3407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2019-04-27T04:36:00Z</dcterms:created>
  <dc:creator>admin</dc:creator>
  <cp:lastModifiedBy>水灵灵的白菜</cp:lastModifiedBy>
  <cp:lastPrinted>2020-11-17T08:24:30Z</cp:lastPrinted>
  <dcterms:modified xsi:type="dcterms:W3CDTF">2020-11-17T08:59:45Z</dcterms:modified>
  <dc:title>自然资源部办公厅关于印发城乡规划领域基层政务公开标准指引的通知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