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32" w:lineRule="exact"/>
        <w:ind w:left="5560" w:right="6140"/>
        <w:jc w:val="center"/>
      </w:pPr>
      <w:r>
        <w:rPr>
          <w:rFonts w:hint="eastAsia" w:ascii="方正大标宋简体" w:hAnsi="方正大标宋简体" w:eastAsia="方正大标宋简体" w:cs="方正大标宋简体"/>
          <w:lang w:val="en-US" w:eastAsia="zh-CN"/>
        </w:rPr>
        <w:t>宜阳县</w:t>
      </w:r>
      <w:r>
        <w:rPr>
          <w:rFonts w:hint="eastAsia" w:ascii="方正大标宋简体" w:hAnsi="方正大标宋简体" w:eastAsia="方正大标宋简体" w:cs="方正大标宋简体"/>
          <w:lang w:eastAsia="zh-CN"/>
        </w:rPr>
        <w:t>市政服务</w:t>
      </w:r>
      <w:bookmarkStart w:id="0" w:name="_GoBack"/>
      <w:bookmarkEnd w:id="0"/>
      <w:r>
        <w:rPr>
          <w:rFonts w:hint="eastAsia" w:ascii="方正大标宋简体" w:hAnsi="方正大标宋简体" w:eastAsia="方正大标宋简体" w:cs="方正大标宋简体"/>
        </w:rPr>
        <w:t>领域基层政务公开标准目录</w:t>
      </w:r>
    </w:p>
    <w:p>
      <w:pPr>
        <w:pStyle w:val="2"/>
        <w:spacing w:before="3"/>
        <w:rPr>
          <w:sz w:val="22"/>
        </w:r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772" w:type="dxa"/>
            <w:vMerge w:val="restart"/>
          </w:tcPr>
          <w:p>
            <w:pPr>
              <w:pStyle w:val="11"/>
              <w:spacing w:before="5"/>
              <w:rPr>
                <w:rFonts w:ascii="方正小标宋简体"/>
                <w:sz w:val="21"/>
                <w:szCs w:val="21"/>
              </w:rPr>
            </w:pPr>
          </w:p>
          <w:p>
            <w:pPr>
              <w:pStyle w:val="11"/>
              <w:spacing w:before="1"/>
              <w:ind w:left="145"/>
              <w:rPr>
                <w:sz w:val="21"/>
                <w:szCs w:val="21"/>
              </w:rPr>
            </w:pPr>
            <w:r>
              <w:rPr>
                <w:sz w:val="21"/>
                <w:szCs w:val="21"/>
              </w:rPr>
              <w:t>序号</w:t>
            </w:r>
          </w:p>
        </w:tc>
        <w:tc>
          <w:tcPr>
            <w:tcW w:w="2375" w:type="dxa"/>
            <w:gridSpan w:val="2"/>
          </w:tcPr>
          <w:p>
            <w:pPr>
              <w:pStyle w:val="11"/>
              <w:spacing w:before="152"/>
              <w:ind w:left="705"/>
              <w:rPr>
                <w:sz w:val="21"/>
                <w:szCs w:val="21"/>
              </w:rPr>
            </w:pPr>
            <w:r>
              <w:rPr>
                <w:sz w:val="21"/>
                <w:szCs w:val="21"/>
              </w:rPr>
              <w:t>公开事项</w:t>
            </w:r>
          </w:p>
        </w:tc>
        <w:tc>
          <w:tcPr>
            <w:tcW w:w="3263" w:type="dxa"/>
            <w:vMerge w:val="restart"/>
          </w:tcPr>
          <w:p>
            <w:pPr>
              <w:pStyle w:val="11"/>
              <w:spacing w:before="5"/>
              <w:rPr>
                <w:rFonts w:ascii="方正小标宋简体"/>
                <w:sz w:val="21"/>
                <w:szCs w:val="21"/>
              </w:rPr>
            </w:pPr>
          </w:p>
          <w:p>
            <w:pPr>
              <w:pStyle w:val="11"/>
              <w:spacing w:before="1"/>
              <w:ind w:left="1130" w:right="1117"/>
              <w:jc w:val="center"/>
              <w:rPr>
                <w:sz w:val="21"/>
                <w:szCs w:val="21"/>
              </w:rPr>
            </w:pPr>
            <w:r>
              <w:rPr>
                <w:sz w:val="21"/>
                <w:szCs w:val="21"/>
              </w:rPr>
              <w:t>公开内容</w:t>
            </w:r>
          </w:p>
        </w:tc>
        <w:tc>
          <w:tcPr>
            <w:tcW w:w="2887" w:type="dxa"/>
            <w:vMerge w:val="restart"/>
          </w:tcPr>
          <w:p>
            <w:pPr>
              <w:pStyle w:val="11"/>
              <w:spacing w:before="5"/>
              <w:rPr>
                <w:rFonts w:ascii="方正小标宋简体"/>
                <w:sz w:val="21"/>
                <w:szCs w:val="21"/>
              </w:rPr>
            </w:pPr>
          </w:p>
          <w:p>
            <w:pPr>
              <w:pStyle w:val="11"/>
              <w:spacing w:before="1"/>
              <w:ind w:left="961"/>
              <w:rPr>
                <w:sz w:val="21"/>
                <w:szCs w:val="21"/>
              </w:rPr>
            </w:pPr>
            <w:r>
              <w:rPr>
                <w:sz w:val="21"/>
                <w:szCs w:val="21"/>
              </w:rPr>
              <w:t>公开依据</w:t>
            </w:r>
          </w:p>
        </w:tc>
        <w:tc>
          <w:tcPr>
            <w:tcW w:w="1613" w:type="dxa"/>
            <w:vMerge w:val="restart"/>
          </w:tcPr>
          <w:p>
            <w:pPr>
              <w:pStyle w:val="11"/>
              <w:spacing w:before="2"/>
              <w:rPr>
                <w:rFonts w:ascii="方正小标宋简体"/>
                <w:sz w:val="21"/>
                <w:szCs w:val="21"/>
              </w:rPr>
            </w:pPr>
          </w:p>
          <w:p>
            <w:pPr>
              <w:pStyle w:val="11"/>
              <w:spacing w:before="1" w:line="280" w:lineRule="auto"/>
              <w:ind w:left="566" w:right="549"/>
              <w:jc w:val="center"/>
              <w:rPr>
                <w:sz w:val="21"/>
                <w:szCs w:val="21"/>
              </w:rPr>
            </w:pPr>
            <w:r>
              <w:rPr>
                <w:sz w:val="21"/>
                <w:szCs w:val="21"/>
              </w:rPr>
              <w:t>公开时限</w:t>
            </w:r>
          </w:p>
        </w:tc>
        <w:tc>
          <w:tcPr>
            <w:tcW w:w="712" w:type="dxa"/>
            <w:vMerge w:val="restart"/>
          </w:tcPr>
          <w:p>
            <w:pPr>
              <w:pStyle w:val="11"/>
              <w:spacing w:before="2"/>
              <w:rPr>
                <w:rFonts w:ascii="方正小标宋简体"/>
                <w:sz w:val="21"/>
                <w:szCs w:val="21"/>
              </w:rPr>
            </w:pPr>
          </w:p>
          <w:p>
            <w:pPr>
              <w:pStyle w:val="11"/>
              <w:spacing w:before="1" w:line="280" w:lineRule="auto"/>
              <w:ind w:left="114" w:right="100"/>
              <w:rPr>
                <w:sz w:val="21"/>
                <w:szCs w:val="21"/>
              </w:rPr>
            </w:pPr>
            <w:r>
              <w:rPr>
                <w:sz w:val="21"/>
                <w:szCs w:val="21"/>
              </w:rPr>
              <w:t>公开主体</w:t>
            </w:r>
          </w:p>
        </w:tc>
        <w:tc>
          <w:tcPr>
            <w:tcW w:w="4463" w:type="dxa"/>
            <w:vMerge w:val="restart"/>
          </w:tcPr>
          <w:p>
            <w:pPr>
              <w:pStyle w:val="11"/>
              <w:spacing w:before="5"/>
              <w:rPr>
                <w:rFonts w:ascii="方正小标宋简体"/>
                <w:sz w:val="21"/>
                <w:szCs w:val="21"/>
              </w:rPr>
            </w:pPr>
          </w:p>
          <w:p>
            <w:pPr>
              <w:pStyle w:val="11"/>
              <w:spacing w:before="1"/>
              <w:ind w:left="1389"/>
              <w:rPr>
                <w:sz w:val="21"/>
                <w:szCs w:val="21"/>
              </w:rPr>
            </w:pPr>
            <w:r>
              <w:rPr>
                <w:sz w:val="21"/>
                <w:szCs w:val="21"/>
              </w:rPr>
              <w:t>公开渠道和载体</w:t>
            </w:r>
          </w:p>
        </w:tc>
        <w:tc>
          <w:tcPr>
            <w:tcW w:w="1550" w:type="dxa"/>
            <w:gridSpan w:val="2"/>
          </w:tcPr>
          <w:p>
            <w:pPr>
              <w:pStyle w:val="11"/>
              <w:spacing w:before="152"/>
              <w:ind w:left="294"/>
              <w:rPr>
                <w:sz w:val="21"/>
                <w:szCs w:val="21"/>
              </w:rPr>
            </w:pPr>
            <w:r>
              <w:rPr>
                <w:sz w:val="21"/>
                <w:szCs w:val="21"/>
              </w:rPr>
              <w:t>公开对象</w:t>
            </w:r>
          </w:p>
        </w:tc>
        <w:tc>
          <w:tcPr>
            <w:tcW w:w="1550" w:type="dxa"/>
            <w:gridSpan w:val="2"/>
          </w:tcPr>
          <w:p>
            <w:pPr>
              <w:pStyle w:val="11"/>
              <w:spacing w:before="152"/>
              <w:ind w:left="294"/>
              <w:rPr>
                <w:sz w:val="21"/>
                <w:szCs w:val="21"/>
              </w:rPr>
            </w:pPr>
            <w:r>
              <w:rPr>
                <w:sz w:val="21"/>
                <w:szCs w:val="21"/>
              </w:rPr>
              <w:t>公开方式</w:t>
            </w:r>
          </w:p>
        </w:tc>
        <w:tc>
          <w:tcPr>
            <w:tcW w:w="1550" w:type="dxa"/>
            <w:gridSpan w:val="2"/>
          </w:tcPr>
          <w:p>
            <w:pPr>
              <w:pStyle w:val="11"/>
              <w:spacing w:before="152"/>
              <w:ind w:left="294"/>
              <w:rPr>
                <w:sz w:val="21"/>
                <w:szCs w:val="21"/>
              </w:rPr>
            </w:pPr>
            <w:r>
              <w:rPr>
                <w:sz w:val="21"/>
                <w:szCs w:val="21"/>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772" w:type="dxa"/>
            <w:vMerge w:val="continue"/>
            <w:tcBorders>
              <w:top w:val="nil"/>
            </w:tcBorders>
          </w:tcPr>
          <w:p>
            <w:pPr>
              <w:rPr>
                <w:sz w:val="21"/>
                <w:szCs w:val="21"/>
              </w:rPr>
            </w:pPr>
          </w:p>
        </w:tc>
        <w:tc>
          <w:tcPr>
            <w:tcW w:w="707" w:type="dxa"/>
          </w:tcPr>
          <w:p>
            <w:pPr>
              <w:pStyle w:val="11"/>
              <w:spacing w:before="2" w:line="360" w:lineRule="exact"/>
              <w:ind w:left="112" w:right="97"/>
              <w:rPr>
                <w:sz w:val="21"/>
                <w:szCs w:val="21"/>
              </w:rPr>
            </w:pPr>
            <w:r>
              <w:rPr>
                <w:sz w:val="21"/>
                <w:szCs w:val="21"/>
              </w:rPr>
              <w:t>一级事项</w:t>
            </w:r>
          </w:p>
        </w:tc>
        <w:tc>
          <w:tcPr>
            <w:tcW w:w="1668" w:type="dxa"/>
          </w:tcPr>
          <w:p>
            <w:pPr>
              <w:pStyle w:val="11"/>
              <w:spacing w:before="17"/>
              <w:rPr>
                <w:rFonts w:ascii="方正小标宋简体"/>
                <w:sz w:val="21"/>
                <w:szCs w:val="21"/>
              </w:rPr>
            </w:pPr>
          </w:p>
          <w:p>
            <w:pPr>
              <w:pStyle w:val="11"/>
              <w:ind w:left="353"/>
              <w:rPr>
                <w:sz w:val="21"/>
                <w:szCs w:val="21"/>
              </w:rPr>
            </w:pPr>
            <w:r>
              <w:rPr>
                <w:sz w:val="21"/>
                <w:szCs w:val="21"/>
              </w:rPr>
              <w:t>二级事项</w:t>
            </w:r>
          </w:p>
        </w:tc>
        <w:tc>
          <w:tcPr>
            <w:tcW w:w="3263" w:type="dxa"/>
            <w:vMerge w:val="continue"/>
            <w:tcBorders>
              <w:top w:val="nil"/>
            </w:tcBorders>
          </w:tcPr>
          <w:p>
            <w:pPr>
              <w:rPr>
                <w:sz w:val="21"/>
                <w:szCs w:val="21"/>
              </w:rPr>
            </w:pPr>
          </w:p>
        </w:tc>
        <w:tc>
          <w:tcPr>
            <w:tcW w:w="2887" w:type="dxa"/>
            <w:vMerge w:val="continue"/>
            <w:tcBorders>
              <w:top w:val="nil"/>
            </w:tcBorders>
          </w:tcPr>
          <w:p>
            <w:pPr>
              <w:rPr>
                <w:sz w:val="21"/>
                <w:szCs w:val="21"/>
              </w:rPr>
            </w:pPr>
          </w:p>
        </w:tc>
        <w:tc>
          <w:tcPr>
            <w:tcW w:w="1613" w:type="dxa"/>
            <w:vMerge w:val="continue"/>
            <w:tcBorders>
              <w:top w:val="nil"/>
            </w:tcBorders>
          </w:tcPr>
          <w:p>
            <w:pPr>
              <w:rPr>
                <w:sz w:val="21"/>
                <w:szCs w:val="21"/>
              </w:rPr>
            </w:pPr>
          </w:p>
        </w:tc>
        <w:tc>
          <w:tcPr>
            <w:tcW w:w="712" w:type="dxa"/>
            <w:vMerge w:val="continue"/>
            <w:tcBorders>
              <w:top w:val="nil"/>
            </w:tcBorders>
          </w:tcPr>
          <w:p>
            <w:pPr>
              <w:rPr>
                <w:sz w:val="21"/>
                <w:szCs w:val="21"/>
              </w:rPr>
            </w:pPr>
          </w:p>
        </w:tc>
        <w:tc>
          <w:tcPr>
            <w:tcW w:w="4463" w:type="dxa"/>
            <w:vMerge w:val="continue"/>
            <w:tcBorders>
              <w:top w:val="nil"/>
            </w:tcBorders>
          </w:tcPr>
          <w:p>
            <w:pPr>
              <w:rPr>
                <w:sz w:val="21"/>
                <w:szCs w:val="21"/>
              </w:rPr>
            </w:pPr>
          </w:p>
        </w:tc>
        <w:tc>
          <w:tcPr>
            <w:tcW w:w="775" w:type="dxa"/>
          </w:tcPr>
          <w:p>
            <w:pPr>
              <w:pStyle w:val="11"/>
              <w:spacing w:before="2" w:line="360" w:lineRule="exact"/>
              <w:ind w:left="147" w:right="130" w:firstLine="120"/>
              <w:rPr>
                <w:sz w:val="21"/>
                <w:szCs w:val="21"/>
              </w:rPr>
            </w:pPr>
            <w:r>
              <w:rPr>
                <w:sz w:val="21"/>
                <w:szCs w:val="21"/>
              </w:rPr>
              <w:t>全社会</w:t>
            </w:r>
          </w:p>
        </w:tc>
        <w:tc>
          <w:tcPr>
            <w:tcW w:w="775" w:type="dxa"/>
          </w:tcPr>
          <w:p>
            <w:pPr>
              <w:pStyle w:val="11"/>
              <w:spacing w:before="2" w:line="360" w:lineRule="exact"/>
              <w:ind w:left="145" w:right="132"/>
              <w:rPr>
                <w:sz w:val="21"/>
                <w:szCs w:val="21"/>
              </w:rPr>
            </w:pPr>
            <w:r>
              <w:rPr>
                <w:sz w:val="21"/>
                <w:szCs w:val="21"/>
              </w:rPr>
              <w:t>特定群体</w:t>
            </w:r>
          </w:p>
        </w:tc>
        <w:tc>
          <w:tcPr>
            <w:tcW w:w="775" w:type="dxa"/>
          </w:tcPr>
          <w:p>
            <w:pPr>
              <w:pStyle w:val="11"/>
              <w:spacing w:before="17"/>
              <w:rPr>
                <w:rFonts w:ascii="方正小标宋简体"/>
                <w:sz w:val="21"/>
                <w:szCs w:val="21"/>
              </w:rPr>
            </w:pPr>
          </w:p>
          <w:p>
            <w:pPr>
              <w:pStyle w:val="11"/>
              <w:ind w:left="125" w:right="114"/>
              <w:jc w:val="center"/>
              <w:rPr>
                <w:sz w:val="21"/>
                <w:szCs w:val="21"/>
              </w:rPr>
            </w:pPr>
            <w:r>
              <w:rPr>
                <w:sz w:val="21"/>
                <w:szCs w:val="21"/>
              </w:rPr>
              <w:t>主动</w:t>
            </w:r>
          </w:p>
        </w:tc>
        <w:tc>
          <w:tcPr>
            <w:tcW w:w="775" w:type="dxa"/>
          </w:tcPr>
          <w:p>
            <w:pPr>
              <w:pStyle w:val="11"/>
              <w:spacing w:before="2" w:line="360" w:lineRule="exact"/>
              <w:ind w:left="145" w:right="132" w:firstLine="120"/>
              <w:rPr>
                <w:sz w:val="21"/>
                <w:szCs w:val="21"/>
              </w:rPr>
            </w:pPr>
            <w:r>
              <w:rPr>
                <w:sz w:val="21"/>
                <w:szCs w:val="21"/>
              </w:rPr>
              <w:t>依申请</w:t>
            </w:r>
          </w:p>
        </w:tc>
        <w:tc>
          <w:tcPr>
            <w:tcW w:w="775" w:type="dxa"/>
          </w:tcPr>
          <w:p>
            <w:pPr>
              <w:pStyle w:val="11"/>
              <w:spacing w:before="17"/>
              <w:rPr>
                <w:rFonts w:ascii="方正小标宋简体"/>
                <w:sz w:val="21"/>
                <w:szCs w:val="21"/>
              </w:rPr>
            </w:pPr>
          </w:p>
          <w:p>
            <w:pPr>
              <w:pStyle w:val="11"/>
              <w:ind w:left="125" w:right="113"/>
              <w:jc w:val="center"/>
              <w:rPr>
                <w:sz w:val="21"/>
                <w:szCs w:val="21"/>
              </w:rPr>
            </w:pPr>
            <w:r>
              <w:rPr>
                <w:sz w:val="21"/>
                <w:szCs w:val="21"/>
              </w:rPr>
              <w:t>市级</w:t>
            </w:r>
          </w:p>
        </w:tc>
        <w:tc>
          <w:tcPr>
            <w:tcW w:w="775" w:type="dxa"/>
          </w:tcPr>
          <w:p>
            <w:pPr>
              <w:pStyle w:val="11"/>
              <w:spacing w:before="17"/>
              <w:rPr>
                <w:rFonts w:ascii="方正小标宋简体"/>
                <w:sz w:val="21"/>
                <w:szCs w:val="21"/>
              </w:rPr>
            </w:pPr>
          </w:p>
          <w:p>
            <w:pPr>
              <w:pStyle w:val="11"/>
              <w:ind w:left="125" w:right="113"/>
              <w:jc w:val="center"/>
              <w:rPr>
                <w:sz w:val="21"/>
                <w:szCs w:val="21"/>
              </w:rPr>
            </w:pPr>
            <w:r>
              <w:rPr>
                <w:sz w:val="21"/>
                <w:szCs w:val="21"/>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4"/>
              <w:jc w:val="center"/>
              <w:rPr>
                <w:sz w:val="24"/>
              </w:rPr>
            </w:pPr>
            <w:r>
              <w:rPr>
                <w:sz w:val="24"/>
              </w:rPr>
              <w:t>1</w:t>
            </w:r>
          </w:p>
        </w:tc>
        <w:tc>
          <w:tcPr>
            <w:tcW w:w="707" w:type="dxa"/>
            <w:vMerge w:val="restart"/>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6"/>
              <w:rPr>
                <w:rFonts w:ascii="方正小标宋简体"/>
                <w:sz w:val="15"/>
              </w:rPr>
            </w:pPr>
          </w:p>
          <w:p>
            <w:pPr>
              <w:pStyle w:val="11"/>
              <w:spacing w:line="280" w:lineRule="auto"/>
              <w:ind w:left="112" w:right="97"/>
              <w:jc w:val="both"/>
              <w:rPr>
                <w:sz w:val="24"/>
              </w:rPr>
            </w:pPr>
            <w:r>
              <w:rPr>
                <w:rFonts w:hint="eastAsia"/>
                <w:sz w:val="24"/>
                <w:lang w:eastAsia="zh-CN"/>
              </w:rPr>
              <w:t>城市</w:t>
            </w:r>
            <w:r>
              <w:rPr>
                <w:sz w:val="24"/>
              </w:rPr>
              <w:t>管理</w:t>
            </w:r>
          </w:p>
        </w:tc>
        <w:tc>
          <w:tcPr>
            <w:tcW w:w="1668" w:type="dxa"/>
          </w:tcPr>
          <w:p>
            <w:pPr>
              <w:pStyle w:val="11"/>
              <w:spacing w:line="280" w:lineRule="auto"/>
              <w:ind w:left="106" w:right="-29"/>
              <w:rPr>
                <w:rFonts w:hint="eastAsia"/>
                <w:sz w:val="24"/>
              </w:rPr>
            </w:pPr>
          </w:p>
          <w:p>
            <w:pPr>
              <w:pStyle w:val="11"/>
              <w:spacing w:line="280" w:lineRule="auto"/>
              <w:ind w:left="106" w:right="-29"/>
              <w:rPr>
                <w:rFonts w:hint="eastAsia"/>
                <w:sz w:val="24"/>
              </w:rPr>
            </w:pPr>
          </w:p>
          <w:p>
            <w:pPr>
              <w:pStyle w:val="11"/>
              <w:spacing w:line="280" w:lineRule="auto"/>
              <w:ind w:left="106" w:right="-29"/>
              <w:rPr>
                <w:rFonts w:hint="eastAsia"/>
                <w:sz w:val="24"/>
              </w:rPr>
            </w:pPr>
          </w:p>
          <w:p>
            <w:pPr>
              <w:pStyle w:val="11"/>
              <w:spacing w:line="280" w:lineRule="auto"/>
              <w:ind w:left="106" w:right="-29"/>
              <w:rPr>
                <w:sz w:val="24"/>
              </w:rPr>
            </w:pPr>
            <w:r>
              <w:rPr>
                <w:rFonts w:hint="eastAsia"/>
                <w:sz w:val="24"/>
              </w:rPr>
              <w:t>改变绿化规划、绿化用地的使用性质审批</w:t>
            </w:r>
          </w:p>
        </w:tc>
        <w:tc>
          <w:tcPr>
            <w:tcW w:w="3263" w:type="dxa"/>
          </w:tcPr>
          <w:p>
            <w:pPr>
              <w:pStyle w:val="11"/>
              <w:keepNext w:val="0"/>
              <w:keepLines w:val="0"/>
              <w:pageBreakBefore w:val="0"/>
              <w:widowControl w:val="0"/>
              <w:kinsoku/>
              <w:wordWrap/>
              <w:overflowPunct/>
              <w:topLinePunct w:val="0"/>
              <w:autoSpaceDE w:val="0"/>
              <w:autoSpaceDN w:val="0"/>
              <w:bidi w:val="0"/>
              <w:adjustRightInd/>
              <w:snapToGrid/>
              <w:spacing w:before="0"/>
              <w:textAlignment w:val="auto"/>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8.</w:t>
            </w:r>
            <w:r>
              <w:rPr>
                <w:sz w:val="24"/>
              </w:rPr>
              <w:t>救济渠道。</w:t>
            </w:r>
          </w:p>
        </w:tc>
        <w:tc>
          <w:tcPr>
            <w:tcW w:w="2887" w:type="dxa"/>
          </w:tcPr>
          <w:p>
            <w:pPr>
              <w:pStyle w:val="11"/>
              <w:spacing w:before="1" w:line="280" w:lineRule="auto"/>
              <w:ind w:left="107" w:right="91"/>
              <w:jc w:val="both"/>
              <w:rPr>
                <w:sz w:val="24"/>
              </w:rPr>
            </w:pPr>
            <w:r>
              <w:rPr>
                <w:rFonts w:hint="eastAsia"/>
                <w:sz w:val="18"/>
                <w:szCs w:val="18"/>
              </w:rPr>
              <w:t>《洛阳市绿化条例》2014年12月1日第九条：城市绿地系统规划由市、县（市）、吉利区城乡规划行政主管部门会同城市绿化行政主管部门依据城市总体规划共同编制，经同级人们政府批准后实施，并报同级人民代表大会常务委员会备案。第二十三条：任何单位和个人不得擅自改变规划绿地性质和用途。因城市规划调整或者城市基础设施建设确需改变的，城乡规划行政主管部门应当向社会公示，公开征求社会公众意见，并征得城市绿化行政主管部门同意，按照规划审批权限报原审批机关批准。</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spacing w:before="17"/>
              <w:rPr>
                <w:rFonts w:ascii="方正小标宋简体"/>
                <w:sz w:val="28"/>
              </w:rPr>
            </w:pPr>
          </w:p>
          <w:p>
            <w:pPr>
              <w:pStyle w:val="11"/>
              <w:spacing w:before="52" w:line="280" w:lineRule="auto"/>
              <w:ind w:left="107" w:right="107"/>
              <w:jc w:val="right"/>
              <w:rPr>
                <w:rFonts w:hint="eastAsia" w:eastAsia="宋体"/>
                <w:sz w:val="24"/>
                <w:lang w:val="en-US" w:eastAsia="zh-CN"/>
              </w:rPr>
            </w:pPr>
            <w:r>
              <w:rPr>
                <w:rFonts w:hint="eastAsia"/>
                <w:spacing w:val="-9"/>
                <w:sz w:val="24"/>
                <w:lang w:val="en-US" w:eastAsia="zh-CN"/>
              </w:rPr>
              <w:t>宜阳县城市管理局</w:t>
            </w:r>
          </w:p>
        </w:tc>
        <w:tc>
          <w:tcPr>
            <w:tcW w:w="4463" w:type="dxa"/>
          </w:tcPr>
          <w:p>
            <w:pPr>
              <w:pStyle w:val="11"/>
              <w:spacing w:before="11"/>
              <w:rPr>
                <w:rFonts w:ascii="方正小标宋简体"/>
                <w:sz w:val="32"/>
              </w:rPr>
            </w:pPr>
          </w:p>
          <w:p>
            <w:pPr>
              <w:pStyle w:val="11"/>
              <w:numPr>
                <w:ilvl w:val="0"/>
                <w:numId w:val="1"/>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4" w:hRule="exac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4"/>
              <w:jc w:val="center"/>
              <w:rPr>
                <w:sz w:val="24"/>
              </w:rPr>
            </w:pPr>
            <w:r>
              <w:rPr>
                <w:sz w:val="24"/>
              </w:rPr>
              <w:t>2</w:t>
            </w:r>
          </w:p>
        </w:tc>
        <w:tc>
          <w:tcPr>
            <w:tcW w:w="707" w:type="dxa"/>
            <w:vMerge w:val="continue"/>
            <w:tcBorders>
              <w:top w:val="nil"/>
            </w:tcBorders>
          </w:tcPr>
          <w:p>
            <w:pPr>
              <w:rPr>
                <w:sz w:val="2"/>
                <w:szCs w:val="2"/>
              </w:rPr>
            </w:pPr>
          </w:p>
        </w:tc>
        <w:tc>
          <w:tcPr>
            <w:tcW w:w="1668" w:type="dxa"/>
          </w:tcPr>
          <w:p>
            <w:pPr>
              <w:pStyle w:val="11"/>
              <w:spacing w:line="280" w:lineRule="auto"/>
              <w:ind w:left="106" w:right="92"/>
              <w:jc w:val="both"/>
              <w:rPr>
                <w:rFonts w:hint="eastAsia"/>
                <w:sz w:val="24"/>
              </w:rPr>
            </w:pPr>
          </w:p>
          <w:p>
            <w:pPr>
              <w:pStyle w:val="11"/>
              <w:spacing w:line="280" w:lineRule="auto"/>
              <w:ind w:left="106" w:right="92"/>
              <w:jc w:val="both"/>
              <w:rPr>
                <w:rFonts w:hint="eastAsia"/>
                <w:sz w:val="24"/>
              </w:rPr>
            </w:pPr>
          </w:p>
          <w:p>
            <w:pPr>
              <w:pStyle w:val="11"/>
              <w:spacing w:line="280" w:lineRule="auto"/>
              <w:ind w:left="106" w:right="92"/>
              <w:jc w:val="both"/>
              <w:rPr>
                <w:rFonts w:hint="eastAsia"/>
                <w:sz w:val="24"/>
              </w:rPr>
            </w:pPr>
          </w:p>
          <w:p>
            <w:pPr>
              <w:pStyle w:val="11"/>
              <w:spacing w:line="280" w:lineRule="auto"/>
              <w:ind w:left="106" w:right="92"/>
              <w:jc w:val="both"/>
              <w:rPr>
                <w:sz w:val="24"/>
              </w:rPr>
            </w:pPr>
            <w:r>
              <w:rPr>
                <w:rFonts w:hint="eastAsia"/>
                <w:sz w:val="24"/>
              </w:rPr>
              <w:t>市政设施建设类审批</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2"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before="1" w:line="280" w:lineRule="auto"/>
              <w:ind w:left="107" w:right="91"/>
              <w:jc w:val="both"/>
              <w:rPr>
                <w:sz w:val="24"/>
              </w:rPr>
            </w:pPr>
            <w:r>
              <w:rPr>
                <w:rFonts w:hint="eastAsia"/>
                <w:sz w:val="18"/>
                <w:szCs w:val="18"/>
              </w:rPr>
              <w:t>《洛阳市市政设施管理条例》（2005年3月31日修正）第二十三条“在市政设施管理范围内进行下列行为，应当报经市政行政主管部门和有关部门批准：（一）临时占道、挖掘道路、增开路口。” 第二十三条第二款：“在市政设施管理范围内进行下列行为，应当报经市政行政主管部门和有关部门批准：新建、改（扩)建各种管线、杆（塔）线、地面设备、建（构）筑物等。”</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before="1"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spacing w:before="9"/>
              <w:rPr>
                <w:rFonts w:ascii="方正小标宋简体"/>
                <w:sz w:val="35"/>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2"/>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2"/>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7"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4"/>
              <w:jc w:val="center"/>
              <w:rPr>
                <w:sz w:val="24"/>
              </w:rPr>
            </w:pPr>
            <w:r>
              <w:rPr>
                <w:sz w:val="24"/>
              </w:rPr>
              <w:t>3</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right="-29"/>
              <w:jc w:val="left"/>
              <w:rPr>
                <w:sz w:val="24"/>
              </w:rPr>
            </w:pPr>
            <w:r>
              <w:rPr>
                <w:rFonts w:hint="eastAsia"/>
                <w:sz w:val="24"/>
              </w:rPr>
              <w:t>工程建设涉及城市绿地、树木审批</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right="0" w:rightChars="0"/>
              <w:jc w:val="left"/>
              <w:rPr>
                <w:sz w:val="24"/>
              </w:rPr>
            </w:pPr>
            <w:r>
              <w:rPr>
                <w:rFonts w:hint="eastAsia"/>
                <w:sz w:val="24"/>
                <w:lang w:val="en-US" w:eastAsia="zh-CN"/>
              </w:rPr>
              <w:t>8.</w:t>
            </w:r>
            <w:r>
              <w:rPr>
                <w:sz w:val="24"/>
              </w:rPr>
              <w:t>救济渠道。</w:t>
            </w:r>
          </w:p>
        </w:tc>
        <w:tc>
          <w:tcPr>
            <w:tcW w:w="2887" w:type="dxa"/>
            <w:vAlign w:val="center"/>
          </w:tcPr>
          <w:p>
            <w:pPr>
              <w:pStyle w:val="11"/>
              <w:spacing w:before="1" w:line="280" w:lineRule="auto"/>
              <w:ind w:left="107" w:right="91"/>
              <w:jc w:val="left"/>
              <w:rPr>
                <w:sz w:val="18"/>
                <w:szCs w:val="18"/>
              </w:rPr>
            </w:pPr>
            <w:r>
              <w:rPr>
                <w:rFonts w:hint="eastAsia"/>
                <w:sz w:val="18"/>
                <w:szCs w:val="18"/>
              </w:rPr>
              <w:t>《洛阳市城市绿化条例》2014年12月1日第二十六条：“不得擅自砍伐、移植或者拆除城市绿化植物和绿化设施。确需砍伐、移植或者拆除的，由市、县（市）、吉利区城市绿化行政主管部门审批。一处一次砍伐树木超过二十株以上的，由市、县（市）、吉利区城市绿化行政主管部门审核，报同级人民政府批准。”</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3"/>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3"/>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Pr>
        <w:spacing w:after="0"/>
        <w:jc w:val="center"/>
        <w:rPr>
          <w:sz w:val="24"/>
        </w:rPr>
        <w:sectPr>
          <w:type w:val="continuous"/>
          <w:pgSz w:w="23760" w:h="16790" w:orient="landscape"/>
          <w:pgMar w:top="1560" w:right="1100" w:bottom="280" w:left="1680" w:header="720" w:footer="720" w:gutter="0"/>
        </w:sect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05"/>
        <w:gridCol w:w="2945"/>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2"/>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49"/>
              <w:ind w:left="705"/>
              <w:rPr>
                <w:sz w:val="24"/>
              </w:rPr>
            </w:pPr>
            <w:r>
              <w:rPr>
                <w:sz w:val="24"/>
              </w:rPr>
              <w:t>公开事项</w:t>
            </w:r>
          </w:p>
        </w:tc>
        <w:tc>
          <w:tcPr>
            <w:tcW w:w="3205" w:type="dxa"/>
            <w:vMerge w:val="restart"/>
          </w:tcPr>
          <w:p>
            <w:pPr>
              <w:pStyle w:val="11"/>
              <w:spacing w:before="2"/>
              <w:rPr>
                <w:rFonts w:ascii="方正小标宋简体"/>
                <w:sz w:val="29"/>
              </w:rPr>
            </w:pPr>
          </w:p>
          <w:p>
            <w:pPr>
              <w:pStyle w:val="11"/>
              <w:spacing w:before="1"/>
              <w:ind w:right="1117"/>
              <w:jc w:val="center"/>
              <w:rPr>
                <w:sz w:val="24"/>
              </w:rPr>
            </w:pPr>
            <w:r>
              <w:rPr>
                <w:rFonts w:hint="eastAsia"/>
                <w:sz w:val="24"/>
                <w:lang w:val="en-US" w:eastAsia="zh-CN"/>
              </w:rPr>
              <w:t xml:space="preserve">         </w:t>
            </w:r>
            <w:r>
              <w:rPr>
                <w:sz w:val="24"/>
              </w:rPr>
              <w:t>公开内容</w:t>
            </w:r>
          </w:p>
        </w:tc>
        <w:tc>
          <w:tcPr>
            <w:tcW w:w="2945" w:type="dxa"/>
            <w:vMerge w:val="restart"/>
          </w:tcPr>
          <w:p>
            <w:pPr>
              <w:pStyle w:val="11"/>
              <w:spacing w:before="2"/>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17"/>
              <w:rPr>
                <w:rFonts w:ascii="方正小标宋简体"/>
                <w:sz w:val="18"/>
              </w:rPr>
            </w:pPr>
          </w:p>
          <w:p>
            <w:pPr>
              <w:pStyle w:val="11"/>
              <w:spacing w:line="280" w:lineRule="auto"/>
              <w:ind w:left="566" w:right="549"/>
              <w:jc w:val="center"/>
              <w:rPr>
                <w:sz w:val="24"/>
              </w:rPr>
            </w:pPr>
            <w:r>
              <w:rPr>
                <w:sz w:val="24"/>
              </w:rPr>
              <w:t>公开时限</w:t>
            </w:r>
          </w:p>
        </w:tc>
        <w:tc>
          <w:tcPr>
            <w:tcW w:w="712" w:type="dxa"/>
            <w:vMerge w:val="restart"/>
          </w:tcPr>
          <w:p>
            <w:pPr>
              <w:pStyle w:val="11"/>
              <w:spacing w:before="17"/>
              <w:rPr>
                <w:rFonts w:ascii="方正小标宋简体"/>
                <w:sz w:val="18"/>
              </w:rPr>
            </w:pPr>
          </w:p>
          <w:p>
            <w:pPr>
              <w:pStyle w:val="11"/>
              <w:spacing w:line="280" w:lineRule="auto"/>
              <w:ind w:left="114" w:right="100"/>
              <w:rPr>
                <w:sz w:val="24"/>
              </w:rPr>
            </w:pPr>
            <w:r>
              <w:rPr>
                <w:sz w:val="24"/>
              </w:rPr>
              <w:t>公开主体</w:t>
            </w:r>
          </w:p>
        </w:tc>
        <w:tc>
          <w:tcPr>
            <w:tcW w:w="4463" w:type="dxa"/>
            <w:vMerge w:val="restart"/>
          </w:tcPr>
          <w:p>
            <w:pPr>
              <w:pStyle w:val="11"/>
              <w:spacing w:before="2"/>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49"/>
              <w:ind w:left="294"/>
              <w:rPr>
                <w:sz w:val="24"/>
              </w:rPr>
            </w:pPr>
            <w:r>
              <w:rPr>
                <w:sz w:val="24"/>
              </w:rPr>
              <w:t>公开对象</w:t>
            </w:r>
          </w:p>
        </w:tc>
        <w:tc>
          <w:tcPr>
            <w:tcW w:w="1550" w:type="dxa"/>
            <w:gridSpan w:val="2"/>
          </w:tcPr>
          <w:p>
            <w:pPr>
              <w:pStyle w:val="11"/>
              <w:spacing w:before="149"/>
              <w:ind w:left="294"/>
              <w:rPr>
                <w:sz w:val="24"/>
              </w:rPr>
            </w:pPr>
            <w:r>
              <w:rPr>
                <w:sz w:val="24"/>
              </w:rPr>
              <w:t>公开方式</w:t>
            </w:r>
          </w:p>
        </w:tc>
        <w:tc>
          <w:tcPr>
            <w:tcW w:w="1550" w:type="dxa"/>
            <w:gridSpan w:val="2"/>
          </w:tcPr>
          <w:p>
            <w:pPr>
              <w:pStyle w:val="11"/>
              <w:spacing w:before="149"/>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772" w:type="dxa"/>
            <w:vMerge w:val="continue"/>
            <w:tcBorders>
              <w:top w:val="nil"/>
            </w:tcBorders>
          </w:tcPr>
          <w:p>
            <w:pPr>
              <w:rPr>
                <w:sz w:val="2"/>
                <w:szCs w:val="2"/>
              </w:rPr>
            </w:pPr>
          </w:p>
        </w:tc>
        <w:tc>
          <w:tcPr>
            <w:tcW w:w="707" w:type="dxa"/>
          </w:tcPr>
          <w:p>
            <w:pPr>
              <w:pStyle w:val="11"/>
              <w:spacing w:before="47"/>
              <w:ind w:left="112"/>
              <w:rPr>
                <w:sz w:val="24"/>
              </w:rPr>
            </w:pPr>
            <w:r>
              <w:rPr>
                <w:sz w:val="24"/>
              </w:rPr>
              <w:t>一级</w:t>
            </w:r>
          </w:p>
          <w:p>
            <w:pPr>
              <w:pStyle w:val="11"/>
              <w:spacing w:before="52" w:line="293" w:lineRule="exact"/>
              <w:ind w:left="112"/>
              <w:rPr>
                <w:sz w:val="24"/>
              </w:rPr>
            </w:pPr>
            <w:r>
              <w:rPr>
                <w:sz w:val="24"/>
              </w:rPr>
              <w:t>事项</w:t>
            </w:r>
          </w:p>
        </w:tc>
        <w:tc>
          <w:tcPr>
            <w:tcW w:w="1668" w:type="dxa"/>
          </w:tcPr>
          <w:p>
            <w:pPr>
              <w:pStyle w:val="11"/>
              <w:spacing w:before="14"/>
              <w:rPr>
                <w:rFonts w:ascii="方正小标宋简体"/>
                <w:sz w:val="12"/>
              </w:rPr>
            </w:pPr>
          </w:p>
          <w:p>
            <w:pPr>
              <w:pStyle w:val="11"/>
              <w:ind w:left="353"/>
              <w:rPr>
                <w:sz w:val="24"/>
              </w:rPr>
            </w:pPr>
            <w:r>
              <w:rPr>
                <w:sz w:val="24"/>
              </w:rPr>
              <w:t>二级事项</w:t>
            </w:r>
          </w:p>
        </w:tc>
        <w:tc>
          <w:tcPr>
            <w:tcW w:w="3205" w:type="dxa"/>
            <w:vMerge w:val="continue"/>
            <w:tcBorders>
              <w:top w:val="nil"/>
            </w:tcBorders>
          </w:tcPr>
          <w:p>
            <w:pPr>
              <w:rPr>
                <w:sz w:val="2"/>
                <w:szCs w:val="2"/>
              </w:rPr>
            </w:pPr>
          </w:p>
        </w:tc>
        <w:tc>
          <w:tcPr>
            <w:tcW w:w="2945"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47"/>
              <w:ind w:left="267"/>
              <w:rPr>
                <w:sz w:val="24"/>
              </w:rPr>
            </w:pPr>
            <w:r>
              <w:rPr>
                <w:sz w:val="24"/>
              </w:rPr>
              <w:t>全</w:t>
            </w:r>
          </w:p>
          <w:p>
            <w:pPr>
              <w:pStyle w:val="11"/>
              <w:spacing w:before="52" w:line="293" w:lineRule="exact"/>
              <w:ind w:left="147"/>
              <w:rPr>
                <w:sz w:val="24"/>
              </w:rPr>
            </w:pPr>
            <w:r>
              <w:rPr>
                <w:sz w:val="24"/>
              </w:rPr>
              <w:t>社会</w:t>
            </w:r>
          </w:p>
        </w:tc>
        <w:tc>
          <w:tcPr>
            <w:tcW w:w="775" w:type="dxa"/>
          </w:tcPr>
          <w:p>
            <w:pPr>
              <w:pStyle w:val="11"/>
              <w:spacing w:before="47"/>
              <w:ind w:left="145"/>
              <w:rPr>
                <w:sz w:val="24"/>
              </w:rPr>
            </w:pPr>
            <w:r>
              <w:rPr>
                <w:sz w:val="24"/>
              </w:rPr>
              <w:t>特定</w:t>
            </w:r>
          </w:p>
          <w:p>
            <w:pPr>
              <w:pStyle w:val="11"/>
              <w:spacing w:before="52" w:line="293" w:lineRule="exact"/>
              <w:ind w:left="145"/>
              <w:rPr>
                <w:sz w:val="24"/>
              </w:rPr>
            </w:pPr>
            <w:r>
              <w:rPr>
                <w:sz w:val="24"/>
              </w:rPr>
              <w:t>群体</w:t>
            </w:r>
          </w:p>
        </w:tc>
        <w:tc>
          <w:tcPr>
            <w:tcW w:w="775" w:type="dxa"/>
          </w:tcPr>
          <w:p>
            <w:pPr>
              <w:pStyle w:val="11"/>
              <w:spacing w:before="14"/>
              <w:rPr>
                <w:rFonts w:ascii="方正小标宋简体"/>
                <w:sz w:val="12"/>
              </w:rPr>
            </w:pPr>
          </w:p>
          <w:p>
            <w:pPr>
              <w:pStyle w:val="11"/>
              <w:ind w:left="125" w:right="114"/>
              <w:jc w:val="center"/>
              <w:rPr>
                <w:sz w:val="24"/>
              </w:rPr>
            </w:pPr>
            <w:r>
              <w:rPr>
                <w:sz w:val="24"/>
              </w:rPr>
              <w:t>主动</w:t>
            </w:r>
          </w:p>
        </w:tc>
        <w:tc>
          <w:tcPr>
            <w:tcW w:w="775" w:type="dxa"/>
          </w:tcPr>
          <w:p>
            <w:pPr>
              <w:pStyle w:val="11"/>
              <w:spacing w:before="47"/>
              <w:ind w:left="11"/>
              <w:jc w:val="center"/>
              <w:rPr>
                <w:sz w:val="24"/>
              </w:rPr>
            </w:pPr>
            <w:r>
              <w:rPr>
                <w:sz w:val="24"/>
              </w:rPr>
              <w:t>依</w:t>
            </w:r>
          </w:p>
          <w:p>
            <w:pPr>
              <w:pStyle w:val="11"/>
              <w:spacing w:before="52" w:line="293" w:lineRule="exact"/>
              <w:ind w:left="125" w:right="114"/>
              <w:jc w:val="center"/>
              <w:rPr>
                <w:sz w:val="24"/>
              </w:rPr>
            </w:pPr>
            <w:r>
              <w:rPr>
                <w:sz w:val="24"/>
              </w:rPr>
              <w:t>申请</w:t>
            </w:r>
          </w:p>
        </w:tc>
        <w:tc>
          <w:tcPr>
            <w:tcW w:w="775" w:type="dxa"/>
          </w:tcPr>
          <w:p>
            <w:pPr>
              <w:pStyle w:val="11"/>
              <w:spacing w:before="14"/>
              <w:rPr>
                <w:rFonts w:ascii="方正小标宋简体"/>
                <w:sz w:val="12"/>
              </w:rPr>
            </w:pPr>
          </w:p>
          <w:p>
            <w:pPr>
              <w:pStyle w:val="11"/>
              <w:ind w:left="125" w:right="113"/>
              <w:jc w:val="center"/>
              <w:rPr>
                <w:sz w:val="24"/>
              </w:rPr>
            </w:pPr>
            <w:r>
              <w:rPr>
                <w:sz w:val="24"/>
              </w:rPr>
              <w:t>市级</w:t>
            </w:r>
          </w:p>
        </w:tc>
        <w:tc>
          <w:tcPr>
            <w:tcW w:w="775" w:type="dxa"/>
          </w:tcPr>
          <w:p>
            <w:pPr>
              <w:pStyle w:val="11"/>
              <w:spacing w:before="14"/>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3"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4"/>
              <w:jc w:val="center"/>
              <w:rPr>
                <w:sz w:val="24"/>
              </w:rPr>
            </w:pPr>
            <w:r>
              <w:rPr>
                <w:sz w:val="24"/>
              </w:rPr>
              <w:t>4</w:t>
            </w:r>
          </w:p>
        </w:tc>
        <w:tc>
          <w:tcPr>
            <w:tcW w:w="707" w:type="dxa"/>
            <w:vMerge w:val="restart"/>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16"/>
              </w:rPr>
            </w:pPr>
          </w:p>
          <w:p>
            <w:pPr>
              <w:pStyle w:val="11"/>
              <w:spacing w:line="280" w:lineRule="auto"/>
              <w:ind w:left="112" w:right="97"/>
              <w:jc w:val="both"/>
              <w:rPr>
                <w:sz w:val="24"/>
              </w:rPr>
            </w:pPr>
            <w:r>
              <w:rPr>
                <w:rFonts w:hint="eastAsia"/>
                <w:sz w:val="24"/>
                <w:lang w:eastAsia="zh-CN"/>
              </w:rPr>
              <w:t>城市</w:t>
            </w:r>
            <w:r>
              <w:rPr>
                <w:sz w:val="24"/>
              </w:rPr>
              <w:t>管理</w:t>
            </w:r>
          </w:p>
        </w:tc>
        <w:tc>
          <w:tcPr>
            <w:tcW w:w="1668" w:type="dxa"/>
          </w:tcPr>
          <w:p>
            <w:pPr>
              <w:pStyle w:val="11"/>
              <w:rPr>
                <w:rFonts w:ascii="方正小标宋简体"/>
                <w:sz w:val="24"/>
              </w:rPr>
            </w:pPr>
          </w:p>
          <w:p>
            <w:pPr>
              <w:pStyle w:val="11"/>
              <w:rPr>
                <w:rFonts w:ascii="方正小标宋简体"/>
                <w:sz w:val="24"/>
              </w:rPr>
            </w:pPr>
          </w:p>
          <w:p>
            <w:pPr>
              <w:pStyle w:val="11"/>
              <w:spacing w:before="9"/>
              <w:rPr>
                <w:rFonts w:ascii="方正小标宋简体"/>
                <w:sz w:val="17"/>
              </w:rPr>
            </w:pPr>
          </w:p>
          <w:p>
            <w:pPr>
              <w:pStyle w:val="11"/>
              <w:spacing w:line="280" w:lineRule="auto"/>
              <w:ind w:left="106" w:right="92"/>
              <w:jc w:val="both"/>
              <w:rPr>
                <w:sz w:val="24"/>
              </w:rPr>
            </w:pPr>
            <w:r>
              <w:rPr>
                <w:rFonts w:hint="eastAsia"/>
                <w:sz w:val="24"/>
              </w:rPr>
              <w:t>特殊车辆在城市道路上行驶（包括经过城市桥梁）审批</w:t>
            </w:r>
          </w:p>
        </w:tc>
        <w:tc>
          <w:tcPr>
            <w:tcW w:w="3205"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945" w:type="dxa"/>
          </w:tcPr>
          <w:p>
            <w:pPr>
              <w:pStyle w:val="11"/>
              <w:spacing w:before="1" w:line="280" w:lineRule="auto"/>
              <w:ind w:right="91"/>
              <w:jc w:val="left"/>
              <w:rPr>
                <w:sz w:val="24"/>
              </w:rPr>
            </w:pPr>
            <w:r>
              <w:rPr>
                <w:rFonts w:hint="eastAsia"/>
                <w:spacing w:val="-2"/>
                <w:sz w:val="18"/>
                <w:szCs w:val="18"/>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tc>
        <w:tc>
          <w:tcPr>
            <w:tcW w:w="1613" w:type="dxa"/>
          </w:tcPr>
          <w:p>
            <w:pPr>
              <w:pStyle w:val="11"/>
              <w:rPr>
                <w:rFonts w:ascii="方正小标宋简体"/>
                <w:sz w:val="24"/>
              </w:rPr>
            </w:pPr>
          </w:p>
          <w:p>
            <w:pPr>
              <w:pStyle w:val="11"/>
              <w:spacing w:before="3"/>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9"/>
              <w:rPr>
                <w:rFonts w:ascii="方正小标宋简体"/>
                <w:sz w:val="17"/>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21"/>
              </w:rPr>
            </w:pPr>
          </w:p>
          <w:p>
            <w:pPr>
              <w:pStyle w:val="11"/>
              <w:numPr>
                <w:ilvl w:val="0"/>
                <w:numId w:val="4"/>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4"/>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1"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4"/>
              <w:jc w:val="center"/>
              <w:rPr>
                <w:sz w:val="24"/>
              </w:rPr>
            </w:pPr>
            <w:r>
              <w:rPr>
                <w:sz w:val="24"/>
              </w:rPr>
              <w:t>5</w:t>
            </w:r>
          </w:p>
        </w:tc>
        <w:tc>
          <w:tcPr>
            <w:tcW w:w="707" w:type="dxa"/>
            <w:vMerge w:val="continue"/>
            <w:tcBorders>
              <w:top w:val="nil"/>
            </w:tcBorders>
          </w:tcPr>
          <w:p>
            <w:pPr>
              <w:rPr>
                <w:sz w:val="2"/>
                <w:szCs w:val="2"/>
              </w:rPr>
            </w:pPr>
          </w:p>
        </w:tc>
        <w:tc>
          <w:tcPr>
            <w:tcW w:w="1668" w:type="dxa"/>
            <w:vAlign w:val="center"/>
          </w:tcPr>
          <w:p>
            <w:pPr>
              <w:pStyle w:val="11"/>
              <w:jc w:val="left"/>
              <w:rPr>
                <w:sz w:val="24"/>
              </w:rPr>
            </w:pPr>
            <w:r>
              <w:rPr>
                <w:rFonts w:hint="eastAsia" w:ascii="方正小标宋简体"/>
                <w:sz w:val="24"/>
              </w:rPr>
              <w:t>在城市街道两侧或公共场所堆放物料，搭建临时建筑物、构筑物（含促销展台、帐篷），设置商亭、固定摊点、电话亭或其他设施审批</w:t>
            </w:r>
          </w:p>
        </w:tc>
        <w:tc>
          <w:tcPr>
            <w:tcW w:w="3205"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right="0" w:rightChars="0"/>
              <w:jc w:val="left"/>
              <w:rPr>
                <w:sz w:val="24"/>
              </w:rPr>
            </w:pPr>
            <w:r>
              <w:rPr>
                <w:rFonts w:hint="eastAsia"/>
                <w:sz w:val="24"/>
                <w:lang w:val="en-US" w:eastAsia="zh-CN"/>
              </w:rPr>
              <w:t>8.</w:t>
            </w:r>
            <w:r>
              <w:rPr>
                <w:sz w:val="24"/>
              </w:rPr>
              <w:t>救济渠道。</w:t>
            </w:r>
          </w:p>
        </w:tc>
        <w:tc>
          <w:tcPr>
            <w:tcW w:w="2945" w:type="dxa"/>
            <w:vAlign w:val="center"/>
          </w:tcPr>
          <w:p>
            <w:pPr>
              <w:pStyle w:val="11"/>
              <w:spacing w:before="1"/>
              <w:jc w:val="left"/>
              <w:rPr>
                <w:sz w:val="24"/>
              </w:rPr>
            </w:pPr>
            <w:r>
              <w:rPr>
                <w:rFonts w:hint="eastAsia"/>
                <w:sz w:val="18"/>
                <w:szCs w:val="18"/>
              </w:rPr>
              <w:t>《洛阳市城市市容和环境管理办法》（2011年9月28日批准）第十七条：“在城市街道两侧或者公共场所临时堆放物料、搭建临时建筑物、构筑物（含促销展台、帐篷）或者其他设施的，应当经县（市、区）市容环境卫生行政主管部门审核同意后，按照有关规定办理其他相关审批手续。</w:t>
            </w:r>
          </w:p>
        </w:tc>
        <w:tc>
          <w:tcPr>
            <w:tcW w:w="1613" w:type="dxa"/>
          </w:tcPr>
          <w:p>
            <w:pPr>
              <w:pStyle w:val="11"/>
              <w:rPr>
                <w:rFonts w:ascii="方正小标宋简体"/>
                <w:sz w:val="24"/>
              </w:rPr>
            </w:pPr>
          </w:p>
          <w:p>
            <w:pPr>
              <w:pStyle w:val="11"/>
              <w:spacing w:before="4"/>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10"/>
              <w:rPr>
                <w:rFonts w:ascii="方正小标宋简体"/>
                <w:sz w:val="17"/>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4"/>
              <w:rPr>
                <w:rFonts w:ascii="方正小标宋简体"/>
                <w:sz w:val="21"/>
              </w:rPr>
            </w:pPr>
          </w:p>
          <w:p>
            <w:pPr>
              <w:pStyle w:val="11"/>
              <w:numPr>
                <w:ilvl w:val="0"/>
                <w:numId w:val="5"/>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5"/>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5"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4"/>
              <w:jc w:val="center"/>
              <w:rPr>
                <w:sz w:val="24"/>
              </w:rPr>
            </w:pPr>
            <w:r>
              <w:rPr>
                <w:sz w:val="24"/>
              </w:rPr>
              <w:t>6</w:t>
            </w:r>
          </w:p>
        </w:tc>
        <w:tc>
          <w:tcPr>
            <w:tcW w:w="707" w:type="dxa"/>
            <w:vMerge w:val="continue"/>
            <w:tcBorders>
              <w:top w:val="nil"/>
            </w:tcBorders>
          </w:tcPr>
          <w:p>
            <w:pPr>
              <w:rPr>
                <w:sz w:val="2"/>
                <w:szCs w:val="2"/>
              </w:rPr>
            </w:pPr>
          </w:p>
        </w:tc>
        <w:tc>
          <w:tcPr>
            <w:tcW w:w="1668" w:type="dxa"/>
            <w:vAlign w:val="center"/>
          </w:tcPr>
          <w:p>
            <w:pPr>
              <w:pStyle w:val="11"/>
              <w:jc w:val="left"/>
              <w:rPr>
                <w:rFonts w:ascii="方正小标宋简体"/>
                <w:sz w:val="24"/>
              </w:rPr>
            </w:pPr>
            <w:r>
              <w:rPr>
                <w:rFonts w:hint="eastAsia" w:ascii="方正小标宋简体"/>
                <w:sz w:val="24"/>
                <w:lang w:val="en-US" w:eastAsia="zh-CN"/>
              </w:rPr>
              <w:t>城</w:t>
            </w:r>
            <w:r>
              <w:rPr>
                <w:rFonts w:hint="eastAsia" w:ascii="方正小标宋简体"/>
                <w:sz w:val="24"/>
              </w:rPr>
              <w:t>市户外广告审批及在城市建筑物、设施上悬挂张贴宣传品审批</w:t>
            </w:r>
          </w:p>
          <w:p>
            <w:pPr>
              <w:pStyle w:val="11"/>
              <w:jc w:val="left"/>
              <w:rPr>
                <w:rFonts w:ascii="方正小标宋简体"/>
                <w:sz w:val="24"/>
              </w:rPr>
            </w:pPr>
          </w:p>
          <w:p>
            <w:pPr>
              <w:pStyle w:val="11"/>
              <w:spacing w:line="280" w:lineRule="auto"/>
              <w:ind w:left="106" w:right="92"/>
              <w:jc w:val="center"/>
              <w:rPr>
                <w:sz w:val="24"/>
              </w:rPr>
            </w:pPr>
          </w:p>
        </w:tc>
        <w:tc>
          <w:tcPr>
            <w:tcW w:w="3205"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2" w:after="0" w:line="240" w:lineRule="auto"/>
              <w:ind w:right="0" w:rightChars="0"/>
              <w:jc w:val="left"/>
              <w:rPr>
                <w:sz w:val="24"/>
              </w:rPr>
            </w:pPr>
            <w:r>
              <w:rPr>
                <w:rFonts w:hint="eastAsia"/>
                <w:sz w:val="24"/>
                <w:lang w:val="en-US" w:eastAsia="zh-CN"/>
              </w:rPr>
              <w:t>8.</w:t>
            </w:r>
            <w:r>
              <w:rPr>
                <w:sz w:val="24"/>
              </w:rPr>
              <w:t>救济渠道。</w:t>
            </w:r>
          </w:p>
        </w:tc>
        <w:tc>
          <w:tcPr>
            <w:tcW w:w="2945" w:type="dxa"/>
            <w:vAlign w:val="center"/>
          </w:tcPr>
          <w:p>
            <w:pPr>
              <w:pStyle w:val="11"/>
              <w:spacing w:line="280" w:lineRule="auto"/>
              <w:ind w:left="107" w:right="91"/>
              <w:jc w:val="left"/>
              <w:rPr>
                <w:sz w:val="24"/>
              </w:rPr>
            </w:pPr>
            <w:r>
              <w:rPr>
                <w:rFonts w:hint="eastAsia"/>
                <w:sz w:val="18"/>
                <w:szCs w:val="18"/>
              </w:rPr>
              <w:t>《洛阳市市容和环境卫生管理条例》（2011年9月28日批准）（2005年3月31日修正）第二十一条：“设置户外广告（含招牌广告）、标语牌、画廊、橱窗、读报栏、招贴栏、霓虹灯等设施的；临街店面外部装饰装修的，应当符合国家和省、市城市容貌标准，主办单位应当及时维修、刷新或者清理。大型户外广告（含大型招牌广告）设置应当按照有关法律、法规规定，报经市、县（市、区）市容环境卫生行政主管部门同意，并按照有关规定办理相关审批手续。</w:t>
            </w:r>
          </w:p>
        </w:tc>
        <w:tc>
          <w:tcPr>
            <w:tcW w:w="1613" w:type="dxa"/>
          </w:tcPr>
          <w:p>
            <w:pPr>
              <w:pStyle w:val="11"/>
              <w:rPr>
                <w:rFonts w:ascii="方正小标宋简体"/>
                <w:sz w:val="24"/>
              </w:rPr>
            </w:pPr>
          </w:p>
          <w:p>
            <w:pPr>
              <w:pStyle w:val="11"/>
              <w:spacing w:before="3"/>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9"/>
              <w:rPr>
                <w:rFonts w:ascii="方正小标宋简体"/>
                <w:sz w:val="17"/>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21"/>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2"/>
              <w:jc w:val="center"/>
              <w:rPr>
                <w:sz w:val="24"/>
              </w:rPr>
            </w:pPr>
            <w:r>
              <w:rPr>
                <w:sz w:val="24"/>
              </w:rPr>
              <w:t>√</w:t>
            </w:r>
          </w:p>
        </w:tc>
      </w:tr>
    </w:tbl>
    <w:p>
      <w:pPr>
        <w:spacing w:after="0"/>
        <w:jc w:val="center"/>
        <w:rPr>
          <w:sz w:val="24"/>
        </w:rPr>
        <w:sectPr>
          <w:pgSz w:w="23760" w:h="16790" w:orient="landscape"/>
          <w:pgMar w:top="1440" w:right="1100" w:bottom="280" w:left="1680" w:header="720" w:footer="720" w:gutter="0"/>
        </w:sect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2"/>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49"/>
              <w:ind w:left="705"/>
              <w:rPr>
                <w:sz w:val="24"/>
              </w:rPr>
            </w:pPr>
            <w:r>
              <w:rPr>
                <w:sz w:val="24"/>
              </w:rPr>
              <w:t>公开事项</w:t>
            </w:r>
          </w:p>
        </w:tc>
        <w:tc>
          <w:tcPr>
            <w:tcW w:w="3263" w:type="dxa"/>
            <w:vMerge w:val="restart"/>
          </w:tcPr>
          <w:p>
            <w:pPr>
              <w:pStyle w:val="11"/>
              <w:spacing w:before="2"/>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2"/>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17"/>
              <w:rPr>
                <w:rFonts w:ascii="方正小标宋简体"/>
                <w:sz w:val="18"/>
              </w:rPr>
            </w:pPr>
          </w:p>
          <w:p>
            <w:pPr>
              <w:pStyle w:val="11"/>
              <w:spacing w:line="280" w:lineRule="auto"/>
              <w:ind w:left="566" w:right="549"/>
              <w:jc w:val="center"/>
              <w:rPr>
                <w:sz w:val="24"/>
              </w:rPr>
            </w:pPr>
            <w:r>
              <w:rPr>
                <w:sz w:val="24"/>
              </w:rPr>
              <w:t>公开时限</w:t>
            </w:r>
          </w:p>
        </w:tc>
        <w:tc>
          <w:tcPr>
            <w:tcW w:w="712" w:type="dxa"/>
            <w:vMerge w:val="restart"/>
          </w:tcPr>
          <w:p>
            <w:pPr>
              <w:pStyle w:val="11"/>
              <w:spacing w:before="17"/>
              <w:rPr>
                <w:rFonts w:ascii="方正小标宋简体"/>
                <w:sz w:val="18"/>
              </w:rPr>
            </w:pPr>
          </w:p>
          <w:p>
            <w:pPr>
              <w:pStyle w:val="11"/>
              <w:spacing w:line="280" w:lineRule="auto"/>
              <w:ind w:left="114" w:right="100"/>
              <w:rPr>
                <w:sz w:val="24"/>
              </w:rPr>
            </w:pPr>
            <w:r>
              <w:rPr>
                <w:sz w:val="24"/>
              </w:rPr>
              <w:t>公开主体</w:t>
            </w:r>
          </w:p>
        </w:tc>
        <w:tc>
          <w:tcPr>
            <w:tcW w:w="4463" w:type="dxa"/>
            <w:vMerge w:val="restart"/>
          </w:tcPr>
          <w:p>
            <w:pPr>
              <w:pStyle w:val="11"/>
              <w:spacing w:before="2"/>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49"/>
              <w:ind w:left="294"/>
              <w:rPr>
                <w:sz w:val="24"/>
              </w:rPr>
            </w:pPr>
            <w:r>
              <w:rPr>
                <w:sz w:val="24"/>
              </w:rPr>
              <w:t>公开对象</w:t>
            </w:r>
          </w:p>
        </w:tc>
        <w:tc>
          <w:tcPr>
            <w:tcW w:w="1550" w:type="dxa"/>
            <w:gridSpan w:val="2"/>
          </w:tcPr>
          <w:p>
            <w:pPr>
              <w:pStyle w:val="11"/>
              <w:spacing w:before="149"/>
              <w:ind w:left="294"/>
              <w:rPr>
                <w:sz w:val="24"/>
              </w:rPr>
            </w:pPr>
            <w:r>
              <w:rPr>
                <w:sz w:val="24"/>
              </w:rPr>
              <w:t>公开方式</w:t>
            </w:r>
          </w:p>
        </w:tc>
        <w:tc>
          <w:tcPr>
            <w:tcW w:w="1550" w:type="dxa"/>
            <w:gridSpan w:val="2"/>
          </w:tcPr>
          <w:p>
            <w:pPr>
              <w:pStyle w:val="11"/>
              <w:spacing w:before="149"/>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772" w:type="dxa"/>
            <w:vMerge w:val="continue"/>
            <w:tcBorders>
              <w:top w:val="nil"/>
            </w:tcBorders>
          </w:tcPr>
          <w:p>
            <w:pPr>
              <w:rPr>
                <w:sz w:val="2"/>
                <w:szCs w:val="2"/>
              </w:rPr>
            </w:pPr>
          </w:p>
        </w:tc>
        <w:tc>
          <w:tcPr>
            <w:tcW w:w="707" w:type="dxa"/>
          </w:tcPr>
          <w:p>
            <w:pPr>
              <w:pStyle w:val="11"/>
              <w:spacing w:before="47"/>
              <w:ind w:left="112"/>
              <w:rPr>
                <w:sz w:val="24"/>
              </w:rPr>
            </w:pPr>
            <w:r>
              <w:rPr>
                <w:sz w:val="24"/>
              </w:rPr>
              <w:t>一级</w:t>
            </w:r>
          </w:p>
          <w:p>
            <w:pPr>
              <w:pStyle w:val="11"/>
              <w:spacing w:before="52" w:line="293" w:lineRule="exact"/>
              <w:ind w:left="112"/>
              <w:rPr>
                <w:sz w:val="24"/>
              </w:rPr>
            </w:pPr>
            <w:r>
              <w:rPr>
                <w:sz w:val="24"/>
              </w:rPr>
              <w:t>事项</w:t>
            </w:r>
          </w:p>
        </w:tc>
        <w:tc>
          <w:tcPr>
            <w:tcW w:w="1668" w:type="dxa"/>
          </w:tcPr>
          <w:p>
            <w:pPr>
              <w:pStyle w:val="11"/>
              <w:spacing w:before="14"/>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47"/>
              <w:ind w:left="267"/>
              <w:rPr>
                <w:sz w:val="24"/>
              </w:rPr>
            </w:pPr>
            <w:r>
              <w:rPr>
                <w:sz w:val="24"/>
              </w:rPr>
              <w:t>全</w:t>
            </w:r>
          </w:p>
          <w:p>
            <w:pPr>
              <w:pStyle w:val="11"/>
              <w:spacing w:before="52" w:line="293" w:lineRule="exact"/>
              <w:ind w:left="147"/>
              <w:rPr>
                <w:sz w:val="24"/>
              </w:rPr>
            </w:pPr>
            <w:r>
              <w:rPr>
                <w:sz w:val="24"/>
              </w:rPr>
              <w:t>社会</w:t>
            </w:r>
          </w:p>
        </w:tc>
        <w:tc>
          <w:tcPr>
            <w:tcW w:w="775" w:type="dxa"/>
          </w:tcPr>
          <w:p>
            <w:pPr>
              <w:pStyle w:val="11"/>
              <w:spacing w:before="47"/>
              <w:ind w:left="145"/>
              <w:rPr>
                <w:sz w:val="24"/>
              </w:rPr>
            </w:pPr>
            <w:r>
              <w:rPr>
                <w:sz w:val="24"/>
              </w:rPr>
              <w:t>特定</w:t>
            </w:r>
          </w:p>
          <w:p>
            <w:pPr>
              <w:pStyle w:val="11"/>
              <w:spacing w:before="52" w:line="293" w:lineRule="exact"/>
              <w:ind w:left="145"/>
              <w:rPr>
                <w:sz w:val="24"/>
              </w:rPr>
            </w:pPr>
            <w:r>
              <w:rPr>
                <w:sz w:val="24"/>
              </w:rPr>
              <w:t>群体</w:t>
            </w:r>
          </w:p>
        </w:tc>
        <w:tc>
          <w:tcPr>
            <w:tcW w:w="775" w:type="dxa"/>
          </w:tcPr>
          <w:p>
            <w:pPr>
              <w:pStyle w:val="11"/>
              <w:spacing w:before="14"/>
              <w:rPr>
                <w:rFonts w:ascii="方正小标宋简体"/>
                <w:sz w:val="12"/>
              </w:rPr>
            </w:pPr>
          </w:p>
          <w:p>
            <w:pPr>
              <w:pStyle w:val="11"/>
              <w:ind w:left="125" w:right="114"/>
              <w:jc w:val="center"/>
              <w:rPr>
                <w:sz w:val="24"/>
              </w:rPr>
            </w:pPr>
            <w:r>
              <w:rPr>
                <w:sz w:val="24"/>
              </w:rPr>
              <w:t>主动</w:t>
            </w:r>
          </w:p>
        </w:tc>
        <w:tc>
          <w:tcPr>
            <w:tcW w:w="775" w:type="dxa"/>
          </w:tcPr>
          <w:p>
            <w:pPr>
              <w:pStyle w:val="11"/>
              <w:spacing w:before="47"/>
              <w:ind w:left="11"/>
              <w:jc w:val="center"/>
              <w:rPr>
                <w:sz w:val="24"/>
              </w:rPr>
            </w:pPr>
            <w:r>
              <w:rPr>
                <w:sz w:val="24"/>
              </w:rPr>
              <w:t>依</w:t>
            </w:r>
          </w:p>
          <w:p>
            <w:pPr>
              <w:pStyle w:val="11"/>
              <w:spacing w:before="52" w:line="293" w:lineRule="exact"/>
              <w:ind w:left="125" w:right="114"/>
              <w:jc w:val="center"/>
              <w:rPr>
                <w:sz w:val="24"/>
              </w:rPr>
            </w:pPr>
            <w:r>
              <w:rPr>
                <w:sz w:val="24"/>
              </w:rPr>
              <w:t>申请</w:t>
            </w:r>
          </w:p>
        </w:tc>
        <w:tc>
          <w:tcPr>
            <w:tcW w:w="775" w:type="dxa"/>
          </w:tcPr>
          <w:p>
            <w:pPr>
              <w:pStyle w:val="11"/>
              <w:spacing w:before="14"/>
              <w:rPr>
                <w:rFonts w:ascii="方正小标宋简体"/>
                <w:sz w:val="12"/>
              </w:rPr>
            </w:pPr>
          </w:p>
          <w:p>
            <w:pPr>
              <w:pStyle w:val="11"/>
              <w:ind w:left="125" w:right="113"/>
              <w:jc w:val="center"/>
              <w:rPr>
                <w:sz w:val="24"/>
              </w:rPr>
            </w:pPr>
            <w:r>
              <w:rPr>
                <w:sz w:val="24"/>
              </w:rPr>
              <w:t>市级</w:t>
            </w:r>
          </w:p>
        </w:tc>
        <w:tc>
          <w:tcPr>
            <w:tcW w:w="775" w:type="dxa"/>
          </w:tcPr>
          <w:p>
            <w:pPr>
              <w:pStyle w:val="11"/>
              <w:spacing w:before="14"/>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9"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4"/>
              <w:jc w:val="center"/>
              <w:rPr>
                <w:rFonts w:hint="eastAsia" w:eastAsia="宋体"/>
                <w:sz w:val="24"/>
                <w:lang w:eastAsia="zh-CN"/>
              </w:rPr>
            </w:pPr>
            <w:r>
              <w:rPr>
                <w:rFonts w:hint="eastAsia"/>
                <w:sz w:val="24"/>
                <w:lang w:val="en-US" w:eastAsia="zh-CN"/>
              </w:rPr>
              <w:t>7</w:t>
            </w:r>
          </w:p>
        </w:tc>
        <w:tc>
          <w:tcPr>
            <w:tcW w:w="707" w:type="dxa"/>
            <w:vMerge w:val="restart"/>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7"/>
              <w:rPr>
                <w:rFonts w:ascii="方正小标宋简体"/>
                <w:sz w:val="13"/>
              </w:rPr>
            </w:pPr>
          </w:p>
          <w:p>
            <w:pPr>
              <w:pStyle w:val="11"/>
              <w:spacing w:line="280" w:lineRule="auto"/>
              <w:ind w:left="112" w:right="97"/>
              <w:jc w:val="both"/>
              <w:rPr>
                <w:sz w:val="24"/>
              </w:rPr>
            </w:pPr>
            <w:r>
              <w:rPr>
                <w:rFonts w:hint="eastAsia"/>
                <w:sz w:val="24"/>
                <w:lang w:eastAsia="zh-CN"/>
              </w:rPr>
              <w:t>城市</w:t>
            </w:r>
            <w:r>
              <w:rPr>
                <w:sz w:val="24"/>
              </w:rPr>
              <w:t>管理</w:t>
            </w:r>
          </w:p>
        </w:tc>
        <w:tc>
          <w:tcPr>
            <w:tcW w:w="1668" w:type="dxa"/>
            <w:vAlign w:val="center"/>
          </w:tcPr>
          <w:p>
            <w:pPr>
              <w:pStyle w:val="11"/>
              <w:spacing w:before="16"/>
              <w:jc w:val="both"/>
              <w:rPr>
                <w:rFonts w:ascii="方正小标宋简体"/>
                <w:sz w:val="23"/>
              </w:rPr>
            </w:pPr>
          </w:p>
          <w:p>
            <w:pPr>
              <w:pStyle w:val="11"/>
              <w:spacing w:line="280" w:lineRule="auto"/>
              <w:ind w:left="106" w:right="92"/>
              <w:jc w:val="both"/>
              <w:rPr>
                <w:sz w:val="24"/>
              </w:rPr>
            </w:pPr>
            <w:r>
              <w:rPr>
                <w:rFonts w:hint="eastAsia"/>
                <w:sz w:val="24"/>
              </w:rPr>
              <w:t>从事生活垃圾（含粪便）经营性清扫、收集、运输、处理服务审批</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before="1"/>
              <w:rPr>
                <w:rFonts w:ascii="方正小标宋简体"/>
                <w:sz w:val="21"/>
                <w:szCs w:val="21"/>
              </w:rPr>
            </w:pPr>
          </w:p>
          <w:p>
            <w:pPr>
              <w:pStyle w:val="11"/>
              <w:spacing w:before="1" w:line="280" w:lineRule="auto"/>
              <w:ind w:left="107" w:right="91"/>
              <w:jc w:val="both"/>
              <w:rPr>
                <w:sz w:val="24"/>
              </w:rPr>
            </w:pPr>
            <w:r>
              <w:rPr>
                <w:rFonts w:hint="eastAsia"/>
                <w:sz w:val="18"/>
                <w:szCs w:val="18"/>
              </w:rPr>
              <w:t>《国务院对确需保留的行政审批项目设定行政许可的决定》（2004年6月29日国务院令第412号，2009年1月29日予以修改）附件第102项从事城市生活垃圾经营性清扫、收集、运输、处理服务审批，实施机关：所在城市的市人民政府市容环境卫生行政主管部门。</w:t>
            </w:r>
          </w:p>
        </w:tc>
        <w:tc>
          <w:tcPr>
            <w:tcW w:w="1613" w:type="dxa"/>
          </w:tcPr>
          <w:p>
            <w:pPr>
              <w:pStyle w:val="11"/>
              <w:rPr>
                <w:rFonts w:ascii="方正小标宋简体"/>
                <w:sz w:val="24"/>
              </w:rPr>
            </w:pPr>
          </w:p>
          <w:p>
            <w:pPr>
              <w:pStyle w:val="11"/>
              <w:spacing w:before="4"/>
              <w:rPr>
                <w:rFonts w:ascii="方正小标宋简体"/>
                <w:sz w:val="20"/>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20</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10"/>
              <w:rPr>
                <w:rFonts w:ascii="方正小标宋简体"/>
                <w:sz w:val="16"/>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4"/>
              <w:rPr>
                <w:rFonts w:ascii="方正小标宋简体"/>
                <w:sz w:val="20"/>
              </w:rPr>
            </w:pPr>
          </w:p>
          <w:p>
            <w:pPr>
              <w:pStyle w:val="11"/>
              <w:numPr>
                <w:ilvl w:val="0"/>
                <w:numId w:val="7"/>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0"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4"/>
              <w:jc w:val="center"/>
              <w:rPr>
                <w:sz w:val="24"/>
              </w:rPr>
            </w:pPr>
            <w:r>
              <w:rPr>
                <w:sz w:val="24"/>
              </w:rPr>
              <w:t>8</w:t>
            </w:r>
          </w:p>
        </w:tc>
        <w:tc>
          <w:tcPr>
            <w:tcW w:w="707" w:type="dxa"/>
            <w:vMerge w:val="continue"/>
            <w:tcBorders>
              <w:top w:val="nil"/>
            </w:tcBorders>
          </w:tcPr>
          <w:p>
            <w:pPr>
              <w:rPr>
                <w:sz w:val="2"/>
                <w:szCs w:val="2"/>
              </w:rPr>
            </w:pPr>
          </w:p>
        </w:tc>
        <w:tc>
          <w:tcPr>
            <w:tcW w:w="1668" w:type="dxa"/>
            <w:vAlign w:val="center"/>
          </w:tcPr>
          <w:p>
            <w:pPr>
              <w:pStyle w:val="11"/>
              <w:spacing w:before="1"/>
              <w:jc w:val="both"/>
              <w:rPr>
                <w:rFonts w:ascii="方正小标宋简体"/>
                <w:sz w:val="34"/>
              </w:rPr>
            </w:pPr>
          </w:p>
          <w:p>
            <w:pPr>
              <w:pStyle w:val="11"/>
              <w:spacing w:before="1" w:line="280" w:lineRule="auto"/>
              <w:ind w:left="106" w:right="92"/>
              <w:jc w:val="both"/>
              <w:rPr>
                <w:sz w:val="24"/>
              </w:rPr>
            </w:pPr>
            <w:r>
              <w:rPr>
                <w:rFonts w:hint="eastAsia"/>
                <w:sz w:val="24"/>
              </w:rPr>
              <w:t>迁移、拆除、关闭城市卫生设施许可</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2"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line="280" w:lineRule="auto"/>
              <w:ind w:left="107" w:right="91"/>
              <w:jc w:val="both"/>
              <w:rPr>
                <w:sz w:val="24"/>
              </w:rPr>
            </w:pPr>
            <w:r>
              <w:rPr>
                <w:rFonts w:hint="eastAsia"/>
                <w:sz w:val="18"/>
                <w:szCs w:val="18"/>
              </w:rPr>
              <w:t>《洛阳市城市市容和环境卫生管理办法》（2011年9月28日批准）第二十九条：“环境卫生设施由产权单位加强管理，保证完好有效。禁止侵占、损坏和擅自拆除、移动、封闭环境卫生设施。禁止改变环境卫生设施的使用性质。因建设需要拆除环境卫生设施的，应当经市、县（市、区）市容环境卫生行政主管部门批准，由建设单位按照先建后拆的原则重建，未建成替代设施的不得拆除。”</w:t>
            </w:r>
          </w:p>
        </w:tc>
        <w:tc>
          <w:tcPr>
            <w:tcW w:w="1613" w:type="dxa"/>
          </w:tcPr>
          <w:p>
            <w:pPr>
              <w:pStyle w:val="11"/>
              <w:rPr>
                <w:rFonts w:ascii="方正小标宋简体"/>
                <w:sz w:val="24"/>
              </w:rPr>
            </w:pPr>
          </w:p>
          <w:p>
            <w:pPr>
              <w:pStyle w:val="11"/>
              <w:spacing w:before="4"/>
              <w:rPr>
                <w:rFonts w:ascii="方正小标宋简体"/>
                <w:sz w:val="20"/>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before="1"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10"/>
              <w:rPr>
                <w:rFonts w:ascii="方正小标宋简体"/>
                <w:sz w:val="16"/>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4"/>
              <w:rPr>
                <w:rFonts w:ascii="方正小标宋简体"/>
                <w:sz w:val="20"/>
              </w:rPr>
            </w:pPr>
          </w:p>
          <w:p>
            <w:pPr>
              <w:pStyle w:val="11"/>
              <w:numPr>
                <w:ilvl w:val="0"/>
                <w:numId w:val="8"/>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2"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spacing w:before="1"/>
              <w:ind w:left="14"/>
              <w:jc w:val="center"/>
              <w:rPr>
                <w:sz w:val="24"/>
              </w:rPr>
            </w:pPr>
            <w:r>
              <w:rPr>
                <w:sz w:val="24"/>
              </w:rPr>
              <w:t>9</w:t>
            </w:r>
          </w:p>
        </w:tc>
        <w:tc>
          <w:tcPr>
            <w:tcW w:w="707" w:type="dxa"/>
            <w:vMerge w:val="continue"/>
            <w:tcBorders>
              <w:top w:val="nil"/>
            </w:tcBorders>
          </w:tcPr>
          <w:p>
            <w:pPr>
              <w:rPr>
                <w:sz w:val="2"/>
                <w:szCs w:val="2"/>
              </w:rPr>
            </w:pPr>
          </w:p>
        </w:tc>
        <w:tc>
          <w:tcPr>
            <w:tcW w:w="1668" w:type="dxa"/>
            <w:vAlign w:val="center"/>
          </w:tcPr>
          <w:p>
            <w:pPr>
              <w:pStyle w:val="11"/>
              <w:jc w:val="left"/>
              <w:rPr>
                <w:rFonts w:ascii="方正小标宋简体"/>
                <w:sz w:val="24"/>
              </w:rPr>
            </w:pPr>
          </w:p>
          <w:p>
            <w:pPr>
              <w:pStyle w:val="11"/>
              <w:spacing w:line="280" w:lineRule="auto"/>
              <w:ind w:left="106" w:right="92"/>
              <w:jc w:val="left"/>
              <w:rPr>
                <w:sz w:val="24"/>
              </w:rPr>
            </w:pPr>
            <w:r>
              <w:rPr>
                <w:rFonts w:hint="eastAsia"/>
                <w:sz w:val="24"/>
              </w:rPr>
              <w:t>城市建筑垃圾处置核准</w:t>
            </w:r>
          </w:p>
        </w:tc>
        <w:tc>
          <w:tcPr>
            <w:tcW w:w="3263" w:type="dxa"/>
          </w:tcPr>
          <w:p>
            <w:pPr>
              <w:pStyle w:val="11"/>
              <w:spacing w:before="16"/>
              <w:rPr>
                <w:rFonts w:ascii="方正小标宋简体"/>
                <w:sz w:val="23"/>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line="280" w:lineRule="auto"/>
              <w:ind w:right="91"/>
              <w:jc w:val="both"/>
              <w:rPr>
                <w:sz w:val="24"/>
              </w:rPr>
            </w:pPr>
            <w:r>
              <w:rPr>
                <w:rFonts w:hint="eastAsia"/>
                <w:sz w:val="18"/>
                <w:szCs w:val="18"/>
              </w:rPr>
              <w:t>《城市建筑垃圾管理规定》（建设部令139号）第七条：“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城市建筑垃圾处置核准的具体条件按照《建设部关于纳入国务院决定的十五项行政许可的条件的规定》执行。第十四条处置建筑垃圾的单位在运输建筑垃圾时，应当随车携带建筑垃圾处置核准文件，按照城市人民政府有关部门规定的运输路线、时间运行，不得丢弃、遗撒建筑垃圾，不得超出核准范围承运建筑垃圾。第十六条 建筑垃圾处置实行收费制度，收费标准依据国家有关规定执行。”</w:t>
            </w:r>
          </w:p>
        </w:tc>
        <w:tc>
          <w:tcPr>
            <w:tcW w:w="1613" w:type="dxa"/>
          </w:tcPr>
          <w:p>
            <w:pPr>
              <w:pStyle w:val="11"/>
              <w:rPr>
                <w:rFonts w:ascii="方正小标宋简体"/>
                <w:sz w:val="24"/>
              </w:rPr>
            </w:pPr>
          </w:p>
          <w:p>
            <w:pPr>
              <w:pStyle w:val="11"/>
              <w:spacing w:before="5"/>
              <w:rPr>
                <w:rFonts w:ascii="方正小标宋简体"/>
                <w:sz w:val="20"/>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rFonts w:hint="eastAsia"/>
                <w:sz w:val="24"/>
                <w:lang w:val="en-US" w:eastAsia="zh-CN"/>
              </w:rPr>
              <w:t>15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11"/>
              <w:rPr>
                <w:rFonts w:ascii="方正小标宋简体"/>
                <w:sz w:val="16"/>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5"/>
              <w:rPr>
                <w:rFonts w:ascii="方正小标宋简体"/>
                <w:sz w:val="20"/>
              </w:rPr>
            </w:pPr>
          </w:p>
          <w:p>
            <w:pPr>
              <w:pStyle w:val="11"/>
              <w:numPr>
                <w:ilvl w:val="0"/>
                <w:numId w:val="9"/>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9"/>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spacing w:before="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spacing w:before="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spacing w:before="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3"/>
              </w:rPr>
            </w:pPr>
          </w:p>
          <w:p>
            <w:pPr>
              <w:pStyle w:val="11"/>
              <w:spacing w:before="1"/>
              <w:ind w:left="12"/>
              <w:jc w:val="center"/>
              <w:rPr>
                <w:sz w:val="24"/>
              </w:rPr>
            </w:pPr>
            <w:r>
              <w:rPr>
                <w:sz w:val="24"/>
              </w:rPr>
              <w:t>√</w:t>
            </w:r>
          </w:p>
        </w:tc>
      </w:tr>
    </w:tbl>
    <w:p>
      <w:pPr>
        <w:spacing w:after="0"/>
        <w:jc w:val="center"/>
        <w:rPr>
          <w:sz w:val="24"/>
        </w:rPr>
        <w:sectPr>
          <w:pgSz w:w="23760" w:h="16790" w:orient="landscape"/>
          <w:pgMar w:top="1440" w:right="1100" w:bottom="280" w:left="1680" w:header="720" w:footer="720" w:gutter="0"/>
        </w:sect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772" w:type="dxa"/>
            <w:vMerge w:val="restart"/>
          </w:tcPr>
          <w:p>
            <w:pPr>
              <w:pStyle w:val="11"/>
              <w:spacing w:before="2"/>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49"/>
              <w:ind w:left="705"/>
              <w:rPr>
                <w:sz w:val="24"/>
              </w:rPr>
            </w:pPr>
            <w:r>
              <w:rPr>
                <w:sz w:val="24"/>
              </w:rPr>
              <w:t>公开事项</w:t>
            </w:r>
          </w:p>
        </w:tc>
        <w:tc>
          <w:tcPr>
            <w:tcW w:w="3263" w:type="dxa"/>
            <w:vMerge w:val="restart"/>
          </w:tcPr>
          <w:p>
            <w:pPr>
              <w:pStyle w:val="11"/>
              <w:spacing w:before="2"/>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2"/>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17"/>
              <w:rPr>
                <w:rFonts w:ascii="方正小标宋简体"/>
                <w:sz w:val="18"/>
              </w:rPr>
            </w:pPr>
          </w:p>
          <w:p>
            <w:pPr>
              <w:pStyle w:val="11"/>
              <w:spacing w:line="280" w:lineRule="auto"/>
              <w:ind w:left="566" w:right="549"/>
              <w:jc w:val="center"/>
              <w:rPr>
                <w:sz w:val="24"/>
              </w:rPr>
            </w:pPr>
            <w:r>
              <w:rPr>
                <w:sz w:val="24"/>
              </w:rPr>
              <w:t>公开时限</w:t>
            </w:r>
          </w:p>
        </w:tc>
        <w:tc>
          <w:tcPr>
            <w:tcW w:w="712" w:type="dxa"/>
            <w:vMerge w:val="restart"/>
          </w:tcPr>
          <w:p>
            <w:pPr>
              <w:pStyle w:val="11"/>
              <w:spacing w:before="17"/>
              <w:rPr>
                <w:rFonts w:ascii="方正小标宋简体"/>
                <w:sz w:val="18"/>
              </w:rPr>
            </w:pPr>
          </w:p>
          <w:p>
            <w:pPr>
              <w:pStyle w:val="11"/>
              <w:spacing w:line="280" w:lineRule="auto"/>
              <w:ind w:left="114" w:right="100"/>
              <w:rPr>
                <w:sz w:val="24"/>
              </w:rPr>
            </w:pPr>
            <w:r>
              <w:rPr>
                <w:sz w:val="24"/>
              </w:rPr>
              <w:t>公开主体</w:t>
            </w:r>
          </w:p>
        </w:tc>
        <w:tc>
          <w:tcPr>
            <w:tcW w:w="4463" w:type="dxa"/>
            <w:vMerge w:val="restart"/>
          </w:tcPr>
          <w:p>
            <w:pPr>
              <w:pStyle w:val="11"/>
              <w:spacing w:before="2"/>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49"/>
              <w:ind w:left="294"/>
              <w:rPr>
                <w:sz w:val="24"/>
              </w:rPr>
            </w:pPr>
            <w:r>
              <w:rPr>
                <w:sz w:val="24"/>
              </w:rPr>
              <w:t>公开对象</w:t>
            </w:r>
          </w:p>
        </w:tc>
        <w:tc>
          <w:tcPr>
            <w:tcW w:w="1550" w:type="dxa"/>
            <w:gridSpan w:val="2"/>
          </w:tcPr>
          <w:p>
            <w:pPr>
              <w:pStyle w:val="11"/>
              <w:spacing w:before="149"/>
              <w:ind w:left="294"/>
              <w:rPr>
                <w:sz w:val="24"/>
              </w:rPr>
            </w:pPr>
            <w:r>
              <w:rPr>
                <w:sz w:val="24"/>
              </w:rPr>
              <w:t>公开方式</w:t>
            </w:r>
          </w:p>
        </w:tc>
        <w:tc>
          <w:tcPr>
            <w:tcW w:w="1550" w:type="dxa"/>
            <w:gridSpan w:val="2"/>
          </w:tcPr>
          <w:p>
            <w:pPr>
              <w:pStyle w:val="11"/>
              <w:spacing w:before="149"/>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772" w:type="dxa"/>
            <w:vMerge w:val="continue"/>
            <w:tcBorders>
              <w:top w:val="nil"/>
            </w:tcBorders>
          </w:tcPr>
          <w:p>
            <w:pPr>
              <w:rPr>
                <w:sz w:val="2"/>
                <w:szCs w:val="2"/>
              </w:rPr>
            </w:pPr>
          </w:p>
        </w:tc>
        <w:tc>
          <w:tcPr>
            <w:tcW w:w="707" w:type="dxa"/>
          </w:tcPr>
          <w:p>
            <w:pPr>
              <w:pStyle w:val="11"/>
              <w:spacing w:before="47"/>
              <w:ind w:left="112"/>
              <w:rPr>
                <w:sz w:val="24"/>
              </w:rPr>
            </w:pPr>
            <w:r>
              <w:rPr>
                <w:sz w:val="24"/>
              </w:rPr>
              <w:t>一级</w:t>
            </w:r>
          </w:p>
          <w:p>
            <w:pPr>
              <w:pStyle w:val="11"/>
              <w:spacing w:before="52" w:line="293" w:lineRule="exact"/>
              <w:ind w:left="112"/>
              <w:rPr>
                <w:sz w:val="24"/>
              </w:rPr>
            </w:pPr>
            <w:r>
              <w:rPr>
                <w:sz w:val="24"/>
              </w:rPr>
              <w:t>事项</w:t>
            </w:r>
          </w:p>
        </w:tc>
        <w:tc>
          <w:tcPr>
            <w:tcW w:w="1668" w:type="dxa"/>
          </w:tcPr>
          <w:p>
            <w:pPr>
              <w:pStyle w:val="11"/>
              <w:spacing w:before="14"/>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47"/>
              <w:ind w:left="267"/>
              <w:rPr>
                <w:sz w:val="24"/>
              </w:rPr>
            </w:pPr>
            <w:r>
              <w:rPr>
                <w:sz w:val="24"/>
              </w:rPr>
              <w:t>全</w:t>
            </w:r>
          </w:p>
          <w:p>
            <w:pPr>
              <w:pStyle w:val="11"/>
              <w:spacing w:before="52" w:line="293" w:lineRule="exact"/>
              <w:ind w:left="147"/>
              <w:rPr>
                <w:sz w:val="24"/>
              </w:rPr>
            </w:pPr>
            <w:r>
              <w:rPr>
                <w:sz w:val="24"/>
              </w:rPr>
              <w:t>社会</w:t>
            </w:r>
          </w:p>
        </w:tc>
        <w:tc>
          <w:tcPr>
            <w:tcW w:w="775" w:type="dxa"/>
          </w:tcPr>
          <w:p>
            <w:pPr>
              <w:pStyle w:val="11"/>
              <w:spacing w:before="47"/>
              <w:ind w:left="145"/>
              <w:rPr>
                <w:sz w:val="24"/>
              </w:rPr>
            </w:pPr>
            <w:r>
              <w:rPr>
                <w:sz w:val="24"/>
              </w:rPr>
              <w:t>特定</w:t>
            </w:r>
          </w:p>
          <w:p>
            <w:pPr>
              <w:pStyle w:val="11"/>
              <w:spacing w:before="52" w:line="293" w:lineRule="exact"/>
              <w:ind w:left="145"/>
              <w:rPr>
                <w:sz w:val="24"/>
              </w:rPr>
            </w:pPr>
            <w:r>
              <w:rPr>
                <w:sz w:val="24"/>
              </w:rPr>
              <w:t>群体</w:t>
            </w:r>
          </w:p>
        </w:tc>
        <w:tc>
          <w:tcPr>
            <w:tcW w:w="775" w:type="dxa"/>
          </w:tcPr>
          <w:p>
            <w:pPr>
              <w:pStyle w:val="11"/>
              <w:spacing w:before="14"/>
              <w:rPr>
                <w:rFonts w:ascii="方正小标宋简体"/>
                <w:sz w:val="12"/>
              </w:rPr>
            </w:pPr>
          </w:p>
          <w:p>
            <w:pPr>
              <w:pStyle w:val="11"/>
              <w:ind w:left="125" w:right="114"/>
              <w:jc w:val="center"/>
              <w:rPr>
                <w:sz w:val="24"/>
              </w:rPr>
            </w:pPr>
            <w:r>
              <w:rPr>
                <w:sz w:val="24"/>
              </w:rPr>
              <w:t>主动</w:t>
            </w:r>
          </w:p>
        </w:tc>
        <w:tc>
          <w:tcPr>
            <w:tcW w:w="775" w:type="dxa"/>
          </w:tcPr>
          <w:p>
            <w:pPr>
              <w:pStyle w:val="11"/>
              <w:spacing w:before="47"/>
              <w:ind w:left="11"/>
              <w:jc w:val="center"/>
              <w:rPr>
                <w:sz w:val="24"/>
              </w:rPr>
            </w:pPr>
            <w:r>
              <w:rPr>
                <w:sz w:val="24"/>
              </w:rPr>
              <w:t>依</w:t>
            </w:r>
          </w:p>
          <w:p>
            <w:pPr>
              <w:pStyle w:val="11"/>
              <w:spacing w:before="52" w:line="293" w:lineRule="exact"/>
              <w:ind w:left="125" w:right="114"/>
              <w:jc w:val="center"/>
              <w:rPr>
                <w:sz w:val="24"/>
              </w:rPr>
            </w:pPr>
            <w:r>
              <w:rPr>
                <w:sz w:val="24"/>
              </w:rPr>
              <w:t>申请</w:t>
            </w:r>
          </w:p>
        </w:tc>
        <w:tc>
          <w:tcPr>
            <w:tcW w:w="775" w:type="dxa"/>
          </w:tcPr>
          <w:p>
            <w:pPr>
              <w:pStyle w:val="11"/>
              <w:spacing w:before="14"/>
              <w:rPr>
                <w:rFonts w:ascii="方正小标宋简体"/>
                <w:sz w:val="12"/>
              </w:rPr>
            </w:pPr>
          </w:p>
          <w:p>
            <w:pPr>
              <w:pStyle w:val="11"/>
              <w:ind w:left="125" w:right="113"/>
              <w:jc w:val="center"/>
              <w:rPr>
                <w:sz w:val="24"/>
              </w:rPr>
            </w:pPr>
            <w:r>
              <w:rPr>
                <w:sz w:val="24"/>
              </w:rPr>
              <w:t>市级</w:t>
            </w:r>
          </w:p>
        </w:tc>
        <w:tc>
          <w:tcPr>
            <w:tcW w:w="775" w:type="dxa"/>
          </w:tcPr>
          <w:p>
            <w:pPr>
              <w:pStyle w:val="11"/>
              <w:spacing w:before="14"/>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7"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245" w:right="231"/>
              <w:jc w:val="center"/>
              <w:rPr>
                <w:sz w:val="24"/>
              </w:rPr>
            </w:pPr>
            <w:r>
              <w:rPr>
                <w:sz w:val="24"/>
              </w:rPr>
              <w:t>10</w:t>
            </w:r>
          </w:p>
        </w:tc>
        <w:tc>
          <w:tcPr>
            <w:tcW w:w="707" w:type="dxa"/>
            <w:vMerge w:val="restart"/>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16"/>
              </w:rPr>
            </w:pPr>
          </w:p>
          <w:p>
            <w:pPr>
              <w:pStyle w:val="11"/>
              <w:spacing w:line="280" w:lineRule="auto"/>
              <w:ind w:left="112" w:right="97"/>
              <w:jc w:val="both"/>
              <w:rPr>
                <w:sz w:val="24"/>
              </w:rPr>
            </w:pPr>
            <w:r>
              <w:rPr>
                <w:rFonts w:hint="eastAsia"/>
                <w:sz w:val="24"/>
                <w:lang w:eastAsia="zh-CN"/>
              </w:rPr>
              <w:t>城市</w:t>
            </w:r>
            <w:r>
              <w:rPr>
                <w:sz w:val="24"/>
              </w:rPr>
              <w:t>管理</w:t>
            </w:r>
          </w:p>
        </w:tc>
        <w:tc>
          <w:tcPr>
            <w:tcW w:w="1668" w:type="dxa"/>
          </w:tcPr>
          <w:p>
            <w:pPr>
              <w:pStyle w:val="11"/>
              <w:rPr>
                <w:rFonts w:ascii="方正小标宋简体"/>
                <w:sz w:val="24"/>
              </w:rPr>
            </w:pPr>
          </w:p>
          <w:p>
            <w:pPr>
              <w:pStyle w:val="11"/>
              <w:spacing w:before="6"/>
              <w:rPr>
                <w:rFonts w:ascii="方正小标宋简体"/>
                <w:sz w:val="31"/>
              </w:rPr>
            </w:pPr>
          </w:p>
          <w:p>
            <w:pPr>
              <w:pStyle w:val="11"/>
              <w:spacing w:line="280" w:lineRule="auto"/>
              <w:ind w:left="106" w:right="92"/>
              <w:jc w:val="both"/>
              <w:rPr>
                <w:sz w:val="24"/>
              </w:rPr>
            </w:pPr>
            <w:r>
              <w:rPr>
                <w:rFonts w:hint="eastAsia"/>
                <w:sz w:val="24"/>
              </w:rPr>
              <w:t>迁移古树名木审批</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before="1" w:line="280" w:lineRule="auto"/>
              <w:ind w:right="91"/>
              <w:jc w:val="both"/>
              <w:rPr>
                <w:sz w:val="24"/>
              </w:rPr>
            </w:pPr>
            <w:r>
              <w:rPr>
                <w:rFonts w:hint="eastAsia"/>
                <w:sz w:val="21"/>
                <w:szCs w:val="21"/>
              </w:rPr>
              <w:t>《城市绿化条例》（1992年6月22日国务院令第100号，2017年3月1日予以修改）第二十四条：严禁砍伐或者迁移古树名木。因特殊需要迁移古树名木，必须经城市人民政府城市绿化行政主管部门审查同意，并报同级或者上级人民政府批准。</w:t>
            </w:r>
          </w:p>
        </w:tc>
        <w:tc>
          <w:tcPr>
            <w:tcW w:w="1613" w:type="dxa"/>
          </w:tcPr>
          <w:p>
            <w:pPr>
              <w:pStyle w:val="11"/>
              <w:rPr>
                <w:rFonts w:ascii="方正小标宋简体"/>
                <w:sz w:val="24"/>
              </w:rPr>
            </w:pPr>
          </w:p>
          <w:p>
            <w:pPr>
              <w:pStyle w:val="11"/>
              <w:spacing w:before="3"/>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right="91"/>
              <w:rPr>
                <w:sz w:val="24"/>
              </w:rPr>
            </w:pPr>
            <w:r>
              <w:rPr>
                <w:sz w:val="24"/>
              </w:rPr>
              <w:t>20个工作日内。</w:t>
            </w:r>
          </w:p>
        </w:tc>
        <w:tc>
          <w:tcPr>
            <w:tcW w:w="712" w:type="dxa"/>
          </w:tcPr>
          <w:p>
            <w:pPr>
              <w:pStyle w:val="11"/>
              <w:rPr>
                <w:rFonts w:ascii="方正小标宋简体"/>
                <w:sz w:val="24"/>
              </w:rPr>
            </w:pPr>
          </w:p>
          <w:p>
            <w:pPr>
              <w:pStyle w:val="11"/>
              <w:rPr>
                <w:rFonts w:ascii="方正小标宋简体"/>
                <w:sz w:val="24"/>
              </w:rPr>
            </w:pPr>
          </w:p>
          <w:p>
            <w:pPr>
              <w:pStyle w:val="11"/>
              <w:spacing w:before="9"/>
              <w:rPr>
                <w:rFonts w:ascii="方正小标宋简体"/>
                <w:sz w:val="17"/>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21"/>
              </w:rPr>
            </w:pPr>
          </w:p>
          <w:p>
            <w:pPr>
              <w:pStyle w:val="11"/>
              <w:numPr>
                <w:ilvl w:val="0"/>
                <w:numId w:val="10"/>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0"/>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7"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245" w:right="231"/>
              <w:jc w:val="center"/>
              <w:rPr>
                <w:sz w:val="24"/>
              </w:rPr>
            </w:pPr>
            <w:r>
              <w:rPr>
                <w:sz w:val="24"/>
              </w:rPr>
              <w:t>11</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城市道路挖掘修复费</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7.</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《城市道路管理条例》（国务院令第198号） 第三十八条：“根据城市城市或者其他特殊需要，市政工程行政主管部门可以对临时占用城市道路的单位或者个人决定缩小占有面积、缩短占用时间或者停占占用，并根据具体情况退还部分城市道路占用费。”</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pacing w:val="11"/>
                <w:sz w:val="24"/>
              </w:rPr>
              <w:t xml:space="preserve"> 除处罚决</w:t>
            </w:r>
            <w:r>
              <w:rPr>
                <w:spacing w:val="35"/>
                <w:sz w:val="24"/>
              </w:rPr>
              <w:t>定外其他内</w:t>
            </w:r>
            <w:r>
              <w:rPr>
                <w:spacing w:val="-11"/>
                <w:sz w:val="24"/>
              </w:rPr>
              <w:t>容：长期公开</w:t>
            </w:r>
          </w:p>
          <w:p>
            <w:pPr>
              <w:pStyle w:val="11"/>
              <w:spacing w:line="280" w:lineRule="auto"/>
              <w:ind w:left="107" w:leftChars="0" w:right="91" w:rightChars="0"/>
              <w:rPr>
                <w:rFonts w:ascii="宋体" w:hAnsi="宋体" w:eastAsia="宋体" w:cs="宋体"/>
                <w:sz w:val="24"/>
                <w:szCs w:val="22"/>
                <w:lang w:val="zh-CN" w:eastAsia="zh-CN" w:bidi="zh-CN"/>
              </w:rPr>
            </w:pPr>
            <w:r>
              <w:rPr>
                <w:sz w:val="24"/>
              </w:rPr>
              <w:t>（动态调整</w:t>
            </w:r>
            <w:r>
              <w:rPr>
                <w:spacing w:val="-120"/>
                <w:sz w:val="24"/>
              </w:rPr>
              <w:t>）</w:t>
            </w:r>
          </w:p>
        </w:tc>
        <w:tc>
          <w:tcPr>
            <w:tcW w:w="712" w:type="dxa"/>
          </w:tcPr>
          <w:p>
            <w:pPr>
              <w:pStyle w:val="11"/>
              <w:rPr>
                <w:rFonts w:ascii="方正小标宋简体"/>
                <w:sz w:val="24"/>
              </w:rPr>
            </w:pPr>
          </w:p>
          <w:p>
            <w:pPr>
              <w:pStyle w:val="11"/>
              <w:rPr>
                <w:rFonts w:ascii="方正小标宋简体"/>
                <w:sz w:val="24"/>
              </w:rPr>
            </w:pPr>
          </w:p>
          <w:p>
            <w:pPr>
              <w:pStyle w:val="11"/>
              <w:spacing w:before="10"/>
              <w:rPr>
                <w:rFonts w:ascii="方正小标宋简体"/>
                <w:sz w:val="17"/>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4"/>
              <w:rPr>
                <w:rFonts w:ascii="方正小标宋简体"/>
                <w:sz w:val="21"/>
              </w:rPr>
            </w:pPr>
          </w:p>
          <w:p>
            <w:pPr>
              <w:pStyle w:val="11"/>
              <w:numPr>
                <w:ilvl w:val="0"/>
                <w:numId w:val="11"/>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1"/>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0"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245" w:right="231"/>
              <w:jc w:val="center"/>
              <w:rPr>
                <w:sz w:val="24"/>
              </w:rPr>
            </w:pPr>
            <w:r>
              <w:rPr>
                <w:sz w:val="24"/>
              </w:rPr>
              <w:t>12</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城市生活垃圾处理费</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7.</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生活垃圾管理办法》（中华人民共和国建设部令第157号）第四条：“产生城市生活垃圾的单位和个人，应当按照城市人民政府确定的生活垃圾处理费收费标准和有关规定缴纳城市生活垃圾处理费。城市生活垃圾处理费应当专项用于城市生活垃圾收集、运输和处置，严禁挪作他用。”</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pacing w:val="11"/>
                <w:sz w:val="24"/>
              </w:rPr>
              <w:t>除处罚决</w:t>
            </w:r>
            <w:r>
              <w:rPr>
                <w:spacing w:val="35"/>
                <w:sz w:val="24"/>
              </w:rPr>
              <w:t>定外其他内</w:t>
            </w:r>
            <w:r>
              <w:rPr>
                <w:spacing w:val="-11"/>
                <w:sz w:val="24"/>
              </w:rPr>
              <w:t>容：长期公开</w:t>
            </w:r>
          </w:p>
          <w:p>
            <w:pPr>
              <w:pStyle w:val="11"/>
              <w:spacing w:before="1" w:line="280" w:lineRule="auto"/>
              <w:ind w:left="107" w:leftChars="0" w:right="91" w:rightChars="0"/>
              <w:rPr>
                <w:rFonts w:ascii="宋体" w:hAnsi="宋体" w:eastAsia="宋体" w:cs="宋体"/>
                <w:sz w:val="24"/>
                <w:szCs w:val="22"/>
                <w:lang w:val="zh-CN" w:eastAsia="zh-CN" w:bidi="zh-CN"/>
              </w:rPr>
            </w:pPr>
            <w:r>
              <w:rPr>
                <w:sz w:val="24"/>
              </w:rPr>
              <w:t>（动态调整</w:t>
            </w:r>
            <w:r>
              <w:rPr>
                <w:spacing w:val="-120"/>
                <w:sz w:val="24"/>
              </w:rPr>
              <w:t>）</w:t>
            </w:r>
          </w:p>
        </w:tc>
        <w:tc>
          <w:tcPr>
            <w:tcW w:w="712" w:type="dxa"/>
          </w:tcPr>
          <w:p>
            <w:pPr>
              <w:pStyle w:val="11"/>
              <w:rPr>
                <w:rFonts w:ascii="方正小标宋简体"/>
                <w:sz w:val="24"/>
              </w:rPr>
            </w:pPr>
          </w:p>
          <w:p>
            <w:pPr>
              <w:pStyle w:val="11"/>
              <w:rPr>
                <w:rFonts w:ascii="方正小标宋简体"/>
                <w:sz w:val="24"/>
              </w:rPr>
            </w:pPr>
          </w:p>
          <w:p>
            <w:pPr>
              <w:pStyle w:val="11"/>
              <w:spacing w:before="9"/>
              <w:rPr>
                <w:rFonts w:ascii="方正小标宋简体"/>
                <w:sz w:val="17"/>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21"/>
              </w:rPr>
            </w:pPr>
          </w:p>
          <w:p>
            <w:pPr>
              <w:pStyle w:val="11"/>
              <w:numPr>
                <w:ilvl w:val="0"/>
                <w:numId w:val="12"/>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12"/>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2"/>
              <w:jc w:val="center"/>
              <w:rPr>
                <w:sz w:val="24"/>
              </w:rPr>
            </w:pPr>
            <w:r>
              <w:rPr>
                <w:sz w:val="24"/>
              </w:rPr>
              <w:t>√</w:t>
            </w:r>
          </w:p>
        </w:tc>
      </w:tr>
    </w:tbl>
    <w:p>
      <w:pPr>
        <w:spacing w:after="0"/>
        <w:jc w:val="center"/>
        <w:rPr>
          <w:sz w:val="24"/>
        </w:rPr>
        <w:sectPr>
          <w:pgSz w:w="23760" w:h="16790" w:orient="landscape"/>
          <w:pgMar w:top="1440" w:right="1100" w:bottom="280" w:left="1680" w:header="720" w:footer="720" w:gutter="0"/>
        </w:sect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2"/>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49"/>
              <w:ind w:left="705"/>
              <w:rPr>
                <w:sz w:val="24"/>
              </w:rPr>
            </w:pPr>
            <w:r>
              <w:rPr>
                <w:sz w:val="24"/>
              </w:rPr>
              <w:t>公开事项</w:t>
            </w:r>
          </w:p>
        </w:tc>
        <w:tc>
          <w:tcPr>
            <w:tcW w:w="3263" w:type="dxa"/>
            <w:vMerge w:val="restart"/>
          </w:tcPr>
          <w:p>
            <w:pPr>
              <w:pStyle w:val="11"/>
              <w:spacing w:before="2"/>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2"/>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17"/>
              <w:rPr>
                <w:rFonts w:ascii="方正小标宋简体"/>
                <w:sz w:val="18"/>
              </w:rPr>
            </w:pPr>
          </w:p>
          <w:p>
            <w:pPr>
              <w:pStyle w:val="11"/>
              <w:spacing w:line="280" w:lineRule="auto"/>
              <w:ind w:left="566" w:right="549"/>
              <w:jc w:val="center"/>
              <w:rPr>
                <w:sz w:val="24"/>
              </w:rPr>
            </w:pPr>
            <w:r>
              <w:rPr>
                <w:sz w:val="24"/>
              </w:rPr>
              <w:t>公开时限</w:t>
            </w:r>
          </w:p>
        </w:tc>
        <w:tc>
          <w:tcPr>
            <w:tcW w:w="712" w:type="dxa"/>
            <w:vMerge w:val="restart"/>
          </w:tcPr>
          <w:p>
            <w:pPr>
              <w:pStyle w:val="11"/>
              <w:spacing w:before="17"/>
              <w:rPr>
                <w:rFonts w:ascii="方正小标宋简体"/>
                <w:sz w:val="18"/>
              </w:rPr>
            </w:pPr>
          </w:p>
          <w:p>
            <w:pPr>
              <w:pStyle w:val="11"/>
              <w:spacing w:line="280" w:lineRule="auto"/>
              <w:ind w:left="114" w:right="100"/>
              <w:rPr>
                <w:sz w:val="24"/>
              </w:rPr>
            </w:pPr>
            <w:r>
              <w:rPr>
                <w:sz w:val="24"/>
              </w:rPr>
              <w:t>公开主体</w:t>
            </w:r>
          </w:p>
        </w:tc>
        <w:tc>
          <w:tcPr>
            <w:tcW w:w="4463" w:type="dxa"/>
            <w:vMerge w:val="restart"/>
          </w:tcPr>
          <w:p>
            <w:pPr>
              <w:pStyle w:val="11"/>
              <w:spacing w:before="2"/>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49"/>
              <w:ind w:left="294"/>
              <w:rPr>
                <w:sz w:val="24"/>
              </w:rPr>
            </w:pPr>
            <w:r>
              <w:rPr>
                <w:sz w:val="24"/>
              </w:rPr>
              <w:t>公开对象</w:t>
            </w:r>
          </w:p>
        </w:tc>
        <w:tc>
          <w:tcPr>
            <w:tcW w:w="1550" w:type="dxa"/>
            <w:gridSpan w:val="2"/>
          </w:tcPr>
          <w:p>
            <w:pPr>
              <w:pStyle w:val="11"/>
              <w:spacing w:before="149"/>
              <w:ind w:left="294"/>
              <w:rPr>
                <w:sz w:val="24"/>
              </w:rPr>
            </w:pPr>
            <w:r>
              <w:rPr>
                <w:sz w:val="24"/>
              </w:rPr>
              <w:t>公开方式</w:t>
            </w:r>
          </w:p>
        </w:tc>
        <w:tc>
          <w:tcPr>
            <w:tcW w:w="1550" w:type="dxa"/>
            <w:gridSpan w:val="2"/>
          </w:tcPr>
          <w:p>
            <w:pPr>
              <w:pStyle w:val="11"/>
              <w:spacing w:before="149"/>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772" w:type="dxa"/>
            <w:vMerge w:val="continue"/>
            <w:tcBorders>
              <w:top w:val="nil"/>
            </w:tcBorders>
          </w:tcPr>
          <w:p>
            <w:pPr>
              <w:rPr>
                <w:sz w:val="2"/>
                <w:szCs w:val="2"/>
              </w:rPr>
            </w:pPr>
          </w:p>
        </w:tc>
        <w:tc>
          <w:tcPr>
            <w:tcW w:w="707" w:type="dxa"/>
          </w:tcPr>
          <w:p>
            <w:pPr>
              <w:pStyle w:val="11"/>
              <w:spacing w:before="47"/>
              <w:ind w:left="112"/>
              <w:rPr>
                <w:sz w:val="24"/>
              </w:rPr>
            </w:pPr>
            <w:r>
              <w:rPr>
                <w:sz w:val="24"/>
              </w:rPr>
              <w:t>一级</w:t>
            </w:r>
          </w:p>
          <w:p>
            <w:pPr>
              <w:pStyle w:val="11"/>
              <w:spacing w:before="52" w:line="293" w:lineRule="exact"/>
              <w:ind w:left="112"/>
              <w:rPr>
                <w:sz w:val="24"/>
              </w:rPr>
            </w:pPr>
            <w:r>
              <w:rPr>
                <w:sz w:val="24"/>
              </w:rPr>
              <w:t>事项</w:t>
            </w:r>
          </w:p>
        </w:tc>
        <w:tc>
          <w:tcPr>
            <w:tcW w:w="1668" w:type="dxa"/>
          </w:tcPr>
          <w:p>
            <w:pPr>
              <w:pStyle w:val="11"/>
              <w:spacing w:before="14"/>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47"/>
              <w:ind w:left="267"/>
              <w:rPr>
                <w:sz w:val="24"/>
              </w:rPr>
            </w:pPr>
            <w:r>
              <w:rPr>
                <w:sz w:val="24"/>
              </w:rPr>
              <w:t>全</w:t>
            </w:r>
          </w:p>
          <w:p>
            <w:pPr>
              <w:pStyle w:val="11"/>
              <w:spacing w:before="52" w:line="293" w:lineRule="exact"/>
              <w:ind w:left="147"/>
              <w:rPr>
                <w:sz w:val="24"/>
              </w:rPr>
            </w:pPr>
            <w:r>
              <w:rPr>
                <w:sz w:val="24"/>
              </w:rPr>
              <w:t>社会</w:t>
            </w:r>
          </w:p>
        </w:tc>
        <w:tc>
          <w:tcPr>
            <w:tcW w:w="775" w:type="dxa"/>
          </w:tcPr>
          <w:p>
            <w:pPr>
              <w:pStyle w:val="11"/>
              <w:spacing w:before="47"/>
              <w:ind w:left="145"/>
              <w:rPr>
                <w:sz w:val="24"/>
              </w:rPr>
            </w:pPr>
            <w:r>
              <w:rPr>
                <w:sz w:val="24"/>
              </w:rPr>
              <w:t>特定</w:t>
            </w:r>
          </w:p>
          <w:p>
            <w:pPr>
              <w:pStyle w:val="11"/>
              <w:spacing w:before="52" w:line="293" w:lineRule="exact"/>
              <w:ind w:left="145"/>
              <w:rPr>
                <w:sz w:val="24"/>
              </w:rPr>
            </w:pPr>
            <w:r>
              <w:rPr>
                <w:sz w:val="24"/>
              </w:rPr>
              <w:t>群体</w:t>
            </w:r>
          </w:p>
        </w:tc>
        <w:tc>
          <w:tcPr>
            <w:tcW w:w="775" w:type="dxa"/>
          </w:tcPr>
          <w:p>
            <w:pPr>
              <w:pStyle w:val="11"/>
              <w:spacing w:before="14"/>
              <w:rPr>
                <w:rFonts w:ascii="方正小标宋简体"/>
                <w:sz w:val="12"/>
              </w:rPr>
            </w:pPr>
          </w:p>
          <w:p>
            <w:pPr>
              <w:pStyle w:val="11"/>
              <w:ind w:left="125" w:right="114"/>
              <w:jc w:val="center"/>
              <w:rPr>
                <w:sz w:val="24"/>
              </w:rPr>
            </w:pPr>
            <w:r>
              <w:rPr>
                <w:sz w:val="24"/>
              </w:rPr>
              <w:t>主动</w:t>
            </w:r>
          </w:p>
        </w:tc>
        <w:tc>
          <w:tcPr>
            <w:tcW w:w="775" w:type="dxa"/>
          </w:tcPr>
          <w:p>
            <w:pPr>
              <w:pStyle w:val="11"/>
              <w:spacing w:before="47"/>
              <w:ind w:left="11"/>
              <w:jc w:val="center"/>
              <w:rPr>
                <w:sz w:val="24"/>
              </w:rPr>
            </w:pPr>
            <w:r>
              <w:rPr>
                <w:sz w:val="24"/>
              </w:rPr>
              <w:t>依</w:t>
            </w:r>
          </w:p>
          <w:p>
            <w:pPr>
              <w:pStyle w:val="11"/>
              <w:spacing w:before="52" w:line="293" w:lineRule="exact"/>
              <w:ind w:left="125" w:right="114"/>
              <w:jc w:val="center"/>
              <w:rPr>
                <w:sz w:val="24"/>
              </w:rPr>
            </w:pPr>
            <w:r>
              <w:rPr>
                <w:sz w:val="24"/>
              </w:rPr>
              <w:t>申请</w:t>
            </w:r>
          </w:p>
        </w:tc>
        <w:tc>
          <w:tcPr>
            <w:tcW w:w="775" w:type="dxa"/>
          </w:tcPr>
          <w:p>
            <w:pPr>
              <w:pStyle w:val="11"/>
              <w:spacing w:before="14"/>
              <w:rPr>
                <w:rFonts w:ascii="方正小标宋简体"/>
                <w:sz w:val="12"/>
              </w:rPr>
            </w:pPr>
          </w:p>
          <w:p>
            <w:pPr>
              <w:pStyle w:val="11"/>
              <w:ind w:left="125" w:right="113"/>
              <w:jc w:val="center"/>
              <w:rPr>
                <w:sz w:val="24"/>
              </w:rPr>
            </w:pPr>
            <w:r>
              <w:rPr>
                <w:sz w:val="24"/>
              </w:rPr>
              <w:t>市级</w:t>
            </w:r>
          </w:p>
        </w:tc>
        <w:tc>
          <w:tcPr>
            <w:tcW w:w="775" w:type="dxa"/>
          </w:tcPr>
          <w:p>
            <w:pPr>
              <w:pStyle w:val="11"/>
              <w:spacing w:before="14"/>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4"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245" w:right="231"/>
              <w:jc w:val="center"/>
              <w:rPr>
                <w:sz w:val="24"/>
              </w:rPr>
            </w:pPr>
            <w:r>
              <w:rPr>
                <w:sz w:val="24"/>
              </w:rPr>
              <w:t>13</w:t>
            </w:r>
          </w:p>
        </w:tc>
        <w:tc>
          <w:tcPr>
            <w:tcW w:w="707" w:type="dxa"/>
            <w:vMerge w:val="restart"/>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0"/>
              <w:rPr>
                <w:rFonts w:ascii="方正小标宋简体"/>
                <w:sz w:val="15"/>
              </w:rPr>
            </w:pPr>
          </w:p>
          <w:p>
            <w:pPr>
              <w:pStyle w:val="11"/>
              <w:spacing w:line="280" w:lineRule="auto"/>
              <w:ind w:left="112" w:right="97"/>
              <w:jc w:val="both"/>
              <w:rPr>
                <w:sz w:val="24"/>
              </w:rPr>
            </w:pPr>
            <w:r>
              <w:rPr>
                <w:rFonts w:hint="eastAsia"/>
                <w:sz w:val="24"/>
                <w:lang w:eastAsia="zh-CN"/>
              </w:rPr>
              <w:t>城市管理</w:t>
            </w: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监督检查工程项目附属绿化建设和养护管理的检查</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4"/>
              </w:rPr>
              <w:t>《洛阳市城市绿化条例》（2014年7月30日修订）第三十二条：“城市绿化行政主管部门应当对建设工程项目附属绿化工程建设、绿化工程质量，以及相关单位对城市绿化的保护和管理情况进行监督检查。”</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val="en-US" w:eastAsia="zh-CN"/>
              </w:rPr>
              <w:t>办理期限</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4"/>
              <w:rPr>
                <w:rFonts w:ascii="方正小标宋简体"/>
                <w:sz w:val="17"/>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16"/>
              <w:rPr>
                <w:rFonts w:ascii="方正小标宋简体"/>
                <w:sz w:val="20"/>
              </w:rPr>
            </w:pPr>
          </w:p>
          <w:p>
            <w:pPr>
              <w:pStyle w:val="11"/>
              <w:numPr>
                <w:ilvl w:val="0"/>
                <w:numId w:val="13"/>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3"/>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34"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245" w:right="231"/>
              <w:jc w:val="center"/>
              <w:rPr>
                <w:sz w:val="24"/>
              </w:rPr>
            </w:pPr>
            <w:r>
              <w:rPr>
                <w:sz w:val="24"/>
              </w:rPr>
              <w:t>14</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经批准挖掘城市道路的，应在施工现场设置明显标志和安防围设施的确认</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《城市道路管理条例》（国务院令第198号）第三十五条：“经批准挖掘城市道路的，应在施工现场设置明显标志和安防围设施；竣工后应及时清理现场，通知市政工程行政主管部门检查验收。”</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lang w:val="en-US" w:eastAsia="zh-CN"/>
              </w:rPr>
              <w:t>办理期限</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3</w:t>
            </w:r>
            <w:r>
              <w:rPr>
                <w:sz w:val="24"/>
              </w:rPr>
              <w:t xml:space="preserve"> 个工作日内。</w:t>
            </w:r>
          </w:p>
        </w:tc>
        <w:tc>
          <w:tcPr>
            <w:tcW w:w="712" w:type="dxa"/>
          </w:tcPr>
          <w:p>
            <w:pPr>
              <w:pStyle w:val="11"/>
              <w:rPr>
                <w:rFonts w:ascii="方正小标宋简体"/>
                <w:sz w:val="24"/>
              </w:rPr>
            </w:pPr>
          </w:p>
          <w:p>
            <w:pPr>
              <w:pStyle w:val="11"/>
              <w:rPr>
                <w:rFonts w:ascii="方正小标宋简体"/>
                <w:sz w:val="24"/>
              </w:rPr>
            </w:pPr>
          </w:p>
          <w:p>
            <w:pPr>
              <w:pStyle w:val="11"/>
              <w:spacing w:before="6"/>
              <w:rPr>
                <w:rFonts w:ascii="方正小标宋简体"/>
                <w:sz w:val="17"/>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rPr>
                <w:rFonts w:ascii="方正小标宋简体"/>
                <w:sz w:val="21"/>
              </w:rPr>
            </w:pPr>
          </w:p>
          <w:p>
            <w:pPr>
              <w:pStyle w:val="11"/>
              <w:numPr>
                <w:ilvl w:val="0"/>
                <w:numId w:val="14"/>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4"/>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7"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245" w:right="231"/>
              <w:jc w:val="center"/>
              <w:rPr>
                <w:sz w:val="24"/>
              </w:rPr>
            </w:pPr>
            <w:r>
              <w:rPr>
                <w:sz w:val="24"/>
              </w:rPr>
              <w:t>15</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建设单位按照要求进行城市居住区绿化工程竣工后的备案</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《洛阳市城市绿化条例》（2014年7月30日修订）第十七条:“ 城市居住区绿化工程竣工后，建设单位应当依法组织验收，并在验收合格之日起十五日内，将绿化工程竣工验收资料报市、县(市)、吉利区城市绿化行政主管部门备案。建设单位应当制作绿地平面图标牌，在居住区的显著位置进行永久公示。”</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5</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6"/>
              <w:rPr>
                <w:rFonts w:ascii="方正小标宋简体"/>
                <w:sz w:val="17"/>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rPr>
                <w:rFonts w:ascii="方正小标宋简体"/>
                <w:sz w:val="21"/>
              </w:rPr>
            </w:pPr>
          </w:p>
          <w:p>
            <w:pPr>
              <w:pStyle w:val="11"/>
              <w:numPr>
                <w:ilvl w:val="0"/>
                <w:numId w:val="15"/>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15"/>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2"/>
              <w:jc w:val="center"/>
              <w:rPr>
                <w:sz w:val="24"/>
              </w:rPr>
            </w:pPr>
            <w:r>
              <w:rPr>
                <w:sz w:val="24"/>
              </w:rPr>
              <w:t>√</w:t>
            </w:r>
          </w:p>
        </w:tc>
      </w:tr>
    </w:tbl>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16</w:t>
            </w:r>
          </w:p>
        </w:tc>
        <w:tc>
          <w:tcPr>
            <w:tcW w:w="707" w:type="dxa"/>
            <w:vMerge w:val="restart"/>
            <w:vAlign w:val="center"/>
          </w:tcPr>
          <w:p>
            <w:pPr>
              <w:pStyle w:val="11"/>
              <w:spacing w:line="280" w:lineRule="auto"/>
              <w:ind w:left="112" w:right="97"/>
              <w:jc w:val="center"/>
              <w:rPr>
                <w:rFonts w:hint="eastAsia" w:eastAsia="宋体"/>
                <w:sz w:val="24"/>
                <w:lang w:val="en-US" w:eastAsia="zh-CN"/>
              </w:rPr>
            </w:pPr>
            <w:r>
              <w:rPr>
                <w:rFonts w:hint="eastAsia"/>
                <w:sz w:val="24"/>
                <w:lang w:val="en-US" w:eastAsia="zh-CN"/>
              </w:rPr>
              <w:t>城市管理</w:t>
            </w: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市政设施建设项目竣工验收合格的备案</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市政设施管理办法》（省政府令第72号）第十二条：“市政设施建设项目竣工后，建设单位应当组织设计、施工、工程监理等有关单位进行竣工验收。未经验收或者验收不合格的市政设施不得交付使用。建设单位应当自工程竣工验收合格之日起十五日内，按照规定向工程所在地县级以上市政行政主管部门备案。”</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w:t>
            </w:r>
            <w:r>
              <w:rPr>
                <w:rFonts w:hint="eastAsia"/>
                <w:sz w:val="24"/>
                <w:lang w:eastAsia="zh-CN"/>
              </w:rPr>
              <w:t>办理期限</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3</w:t>
            </w:r>
            <w:r>
              <w:rPr>
                <w:sz w:val="24"/>
              </w:rPr>
              <w:t>个工作日内。</w:t>
            </w:r>
          </w:p>
        </w:tc>
        <w:tc>
          <w:tcPr>
            <w:tcW w:w="712" w:type="dxa"/>
            <w:vAlign w:val="center"/>
          </w:tcPr>
          <w:p>
            <w:pPr>
              <w:pStyle w:val="11"/>
              <w:spacing w:before="52" w:line="280" w:lineRule="auto"/>
              <w:ind w:left="107" w:right="107"/>
              <w:jc w:val="center"/>
              <w:rPr>
                <w:sz w:val="24"/>
              </w:rPr>
            </w:pPr>
            <w:r>
              <w:rPr>
                <w:rFonts w:hint="eastAsia"/>
                <w:spacing w:val="-9"/>
                <w:sz w:val="24"/>
                <w:lang w:val="en-US" w:eastAsia="zh-CN"/>
              </w:rPr>
              <w:t>宜阳县城市管理局</w:t>
            </w:r>
          </w:p>
        </w:tc>
        <w:tc>
          <w:tcPr>
            <w:tcW w:w="4463" w:type="dxa"/>
          </w:tcPr>
          <w:p>
            <w:pPr>
              <w:pStyle w:val="11"/>
              <w:spacing w:before="11"/>
              <w:rPr>
                <w:rFonts w:ascii="方正小标宋简体"/>
                <w:sz w:val="32"/>
              </w:rPr>
            </w:pPr>
          </w:p>
          <w:p>
            <w:pPr>
              <w:pStyle w:val="11"/>
              <w:numPr>
                <w:ilvl w:val="0"/>
                <w:numId w:val="1"/>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17</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城市绿化工程建设项目综合验收</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4"/>
              </w:rPr>
              <w:t>《洛阳市绿化条例》2014年12月1日起施行城市居住区绿化工程竣工后，建设单位应当依法组织验收，并在验收合格之日起十五日内，将绿化工程竣工验收资料报市、县(市)、吉利区城市绿化行政主管部门备案。</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szCs w:val="24"/>
                <w:lang w:eastAsia="zh-CN"/>
              </w:rPr>
              <w:t>办理期限</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5</w:t>
            </w:r>
            <w:r>
              <w:rPr>
                <w:sz w:val="24"/>
              </w:rPr>
              <w:t>个工作日内。</w:t>
            </w:r>
          </w:p>
        </w:tc>
        <w:tc>
          <w:tcPr>
            <w:tcW w:w="712" w:type="dxa"/>
            <w:vAlign w:val="center"/>
          </w:tcPr>
          <w:p>
            <w:pPr>
              <w:pStyle w:val="11"/>
              <w:spacing w:before="53" w:line="280" w:lineRule="auto"/>
              <w:ind w:left="107" w:right="107"/>
              <w:jc w:val="center"/>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2"/>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2"/>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18</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占用车行道、人行道做临时停车场审查</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市政设施管理办法》（省政府72号令）第二十条第五款：“在市政设施管理范围内进行下列行为，应当报经市政行政主管部门批准：占用车行道、人行道做临时停车场的。市政行政主管部门应当自受理申请起十五日内做出批准或不予批准的书面答复。逾期未答复的，视为批准。对批准的影响居民正常生活的事项应当及时向社会公告。”</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w:t>
            </w:r>
            <w:r>
              <w:rPr>
                <w:rFonts w:hint="eastAsia"/>
                <w:sz w:val="24"/>
                <w:szCs w:val="24"/>
                <w:lang w:eastAsia="zh-CN"/>
              </w:rPr>
              <w:t>办理期限</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3</w:t>
            </w:r>
            <w:r>
              <w:rPr>
                <w:sz w:val="24"/>
              </w:rPr>
              <w:t>个工作日内。</w:t>
            </w:r>
          </w:p>
        </w:tc>
        <w:tc>
          <w:tcPr>
            <w:tcW w:w="712" w:type="dxa"/>
            <w:vAlign w:val="center"/>
          </w:tcPr>
          <w:p>
            <w:pPr>
              <w:pStyle w:val="11"/>
              <w:spacing w:before="52" w:line="280" w:lineRule="auto"/>
              <w:ind w:left="107" w:right="107"/>
              <w:jc w:val="center"/>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3"/>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3"/>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19</w:t>
            </w:r>
          </w:p>
        </w:tc>
        <w:tc>
          <w:tcPr>
            <w:tcW w:w="707" w:type="dxa"/>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因建设工程需要迁建、改建、拆除城市道路排水、照明灯市政设施审查</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《河南省市政设施管理办法》（省政府令第72号） 第二十一条：“因建设工程需要迁建、改建城市道路、排水、照明等市政设施的，应当报市政行政主管部门批准。迁建、改建所需费用，由建设单位承担。”</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szCs w:val="24"/>
                <w:lang w:eastAsia="zh-CN"/>
              </w:rPr>
              <w:t>办理期限</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3</w:t>
            </w:r>
            <w:r>
              <w:rPr>
                <w:sz w:val="24"/>
              </w:rPr>
              <w:t>个工作日内。</w:t>
            </w:r>
          </w:p>
        </w:tc>
        <w:tc>
          <w:tcPr>
            <w:tcW w:w="712" w:type="dxa"/>
            <w:vAlign w:val="center"/>
          </w:tcPr>
          <w:p>
            <w:pPr>
              <w:spacing w:before="52" w:line="280" w:lineRule="auto"/>
              <w:ind w:left="0" w:leftChars="0" w:right="0" w:rightChars="0"/>
              <w:jc w:val="center"/>
              <w:rPr>
                <w:sz w:val="24"/>
              </w:rPr>
            </w:pPr>
            <w:r>
              <w:rPr>
                <w:rFonts w:hint="eastAsia"/>
                <w:spacing w:val="-9"/>
                <w:sz w:val="24"/>
                <w:lang w:val="en-US" w:eastAsia="zh-CN"/>
              </w:rPr>
              <w:t>宜阳县城市管理局</w:t>
            </w:r>
          </w:p>
        </w:tc>
        <w:tc>
          <w:tcPr>
            <w:tcW w:w="4463" w:type="dxa"/>
          </w:tcPr>
          <w:p>
            <w:pPr>
              <w:pStyle w:val="11"/>
              <w:spacing w:before="11"/>
              <w:rPr>
                <w:rFonts w:ascii="方正小标宋简体"/>
                <w:sz w:val="32"/>
              </w:rPr>
            </w:pPr>
          </w:p>
          <w:p>
            <w:pPr>
              <w:pStyle w:val="11"/>
              <w:numPr>
                <w:ilvl w:val="0"/>
                <w:numId w:val="1"/>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bl>
    <w:p/>
    <w:p/>
    <w:p/>
    <w:p/>
    <w:p/>
    <w:p/>
    <w:p/>
    <w:sectPr>
      <w:pgSz w:w="23760" w:h="16790" w:orient="landscape"/>
      <w:pgMar w:top="1440" w:right="11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
    <w:nsid w:val="B0F1ACD9"/>
    <w:multiLevelType w:val="multilevel"/>
    <w:tmpl w:val="B0F1ACD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4">
    <w:nsid w:val="D7F9FE59"/>
    <w:multiLevelType w:val="multilevel"/>
    <w:tmpl w:val="D7F9FE5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5">
    <w:nsid w:val="03D62ECE"/>
    <w:multiLevelType w:val="multilevel"/>
    <w:tmpl w:val="03D62EC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6">
    <w:nsid w:val="0E640482"/>
    <w:multiLevelType w:val="multilevel"/>
    <w:tmpl w:val="0E640482"/>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7">
    <w:nsid w:val="2470EC97"/>
    <w:multiLevelType w:val="multilevel"/>
    <w:tmpl w:val="2470EC97"/>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8">
    <w:nsid w:val="39A0D9AC"/>
    <w:multiLevelType w:val="multilevel"/>
    <w:tmpl w:val="39A0D9AC"/>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9">
    <w:nsid w:val="4C1BAE26"/>
    <w:multiLevelType w:val="multilevel"/>
    <w:tmpl w:val="4C1BAE26"/>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0">
    <w:nsid w:val="4D4DC07F"/>
    <w:multiLevelType w:val="multilevel"/>
    <w:tmpl w:val="4D4DC07F"/>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1">
    <w:nsid w:val="5A241D34"/>
    <w:multiLevelType w:val="multilevel"/>
    <w:tmpl w:val="5A241D34"/>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2">
    <w:nsid w:val="629F7852"/>
    <w:multiLevelType w:val="multilevel"/>
    <w:tmpl w:val="629F7852"/>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3">
    <w:nsid w:val="72183CF9"/>
    <w:multiLevelType w:val="multilevel"/>
    <w:tmpl w:val="72183CF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4">
    <w:nsid w:val="77ECEA79"/>
    <w:multiLevelType w:val="multilevel"/>
    <w:tmpl w:val="77ECEA7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num w:numId="1">
    <w:abstractNumId w:val="3"/>
  </w:num>
  <w:num w:numId="2">
    <w:abstractNumId w:val="2"/>
  </w:num>
  <w:num w:numId="3">
    <w:abstractNumId w:val="5"/>
  </w:num>
  <w:num w:numId="4">
    <w:abstractNumId w:val="13"/>
  </w:num>
  <w:num w:numId="5">
    <w:abstractNumId w:val="0"/>
  </w:num>
  <w:num w:numId="6">
    <w:abstractNumId w:val="11"/>
  </w:num>
  <w:num w:numId="7">
    <w:abstractNumId w:val="10"/>
  </w:num>
  <w:num w:numId="8">
    <w:abstractNumId w:val="7"/>
  </w:num>
  <w:num w:numId="9">
    <w:abstractNumId w:val="4"/>
  </w:num>
  <w:num w:numId="10">
    <w:abstractNumId w:val="9"/>
  </w:num>
  <w:num w:numId="11">
    <w:abstractNumId w:val="6"/>
  </w:num>
  <w:num w:numId="12">
    <w:abstractNumId w:val="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0AE0"/>
    <w:rsid w:val="02404DC0"/>
    <w:rsid w:val="049F0BAA"/>
    <w:rsid w:val="0A2B58E4"/>
    <w:rsid w:val="0B200409"/>
    <w:rsid w:val="0CC87782"/>
    <w:rsid w:val="0EC76A1E"/>
    <w:rsid w:val="11AD0887"/>
    <w:rsid w:val="159D37B6"/>
    <w:rsid w:val="16F57ED4"/>
    <w:rsid w:val="17BC315D"/>
    <w:rsid w:val="1B326603"/>
    <w:rsid w:val="1B7F7A84"/>
    <w:rsid w:val="1C1B7367"/>
    <w:rsid w:val="1D6B1932"/>
    <w:rsid w:val="1E37244B"/>
    <w:rsid w:val="235C774D"/>
    <w:rsid w:val="24A46FA9"/>
    <w:rsid w:val="250F78AD"/>
    <w:rsid w:val="296F1A94"/>
    <w:rsid w:val="29F3733E"/>
    <w:rsid w:val="2ACD6F2E"/>
    <w:rsid w:val="2BEB3AF7"/>
    <w:rsid w:val="2C1E7377"/>
    <w:rsid w:val="2C633CA1"/>
    <w:rsid w:val="2F415C6E"/>
    <w:rsid w:val="319C005E"/>
    <w:rsid w:val="32D5072E"/>
    <w:rsid w:val="33055133"/>
    <w:rsid w:val="34465FD2"/>
    <w:rsid w:val="3A592525"/>
    <w:rsid w:val="3AAA0E48"/>
    <w:rsid w:val="3BF0726F"/>
    <w:rsid w:val="3E0D6936"/>
    <w:rsid w:val="41A05C44"/>
    <w:rsid w:val="43787766"/>
    <w:rsid w:val="44256C45"/>
    <w:rsid w:val="45344E59"/>
    <w:rsid w:val="462B7CD1"/>
    <w:rsid w:val="49132171"/>
    <w:rsid w:val="49812334"/>
    <w:rsid w:val="4C2B48F5"/>
    <w:rsid w:val="4F4335DA"/>
    <w:rsid w:val="4F5B0255"/>
    <w:rsid w:val="50196CA3"/>
    <w:rsid w:val="51691BF6"/>
    <w:rsid w:val="51AA3013"/>
    <w:rsid w:val="53577678"/>
    <w:rsid w:val="54EA0B33"/>
    <w:rsid w:val="57C928D4"/>
    <w:rsid w:val="583B61DB"/>
    <w:rsid w:val="59191171"/>
    <w:rsid w:val="595A5DD3"/>
    <w:rsid w:val="5BCB0A77"/>
    <w:rsid w:val="5E2C4843"/>
    <w:rsid w:val="5FFC2344"/>
    <w:rsid w:val="603A5176"/>
    <w:rsid w:val="61CB0291"/>
    <w:rsid w:val="61E0020C"/>
    <w:rsid w:val="62362516"/>
    <w:rsid w:val="66834BF0"/>
    <w:rsid w:val="66D21EDF"/>
    <w:rsid w:val="692D132C"/>
    <w:rsid w:val="695B6992"/>
    <w:rsid w:val="6C413509"/>
    <w:rsid w:val="74763FAF"/>
    <w:rsid w:val="758B2546"/>
    <w:rsid w:val="78E343D6"/>
    <w:rsid w:val="791A5598"/>
    <w:rsid w:val="7A825169"/>
    <w:rsid w:val="7AD77D6E"/>
    <w:rsid w:val="7BCE5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character" w:styleId="5">
    <w:name w:val="Strong"/>
    <w:basedOn w:val="4"/>
    <w:qFormat/>
    <w:uiPriority w:val="0"/>
    <w:rPr>
      <w:b/>
      <w:vanish/>
    </w:rPr>
  </w:style>
  <w:style w:type="character" w:styleId="6">
    <w:name w:val="FollowedHyperlink"/>
    <w:basedOn w:val="4"/>
    <w:qFormat/>
    <w:uiPriority w:val="0"/>
    <w:rPr>
      <w:color w:val="666666"/>
      <w:u w:val="none"/>
    </w:rPr>
  </w:style>
  <w:style w:type="character" w:styleId="7">
    <w:name w:val="Emphasis"/>
    <w:basedOn w:val="4"/>
    <w:qFormat/>
    <w:uiPriority w:val="0"/>
    <w:rPr>
      <w:rFonts w:ascii="Helvetica" w:hAnsi="Helvetica" w:eastAsia="Helvetica" w:cs="Helvetica"/>
      <w:color w:val="333333"/>
      <w:sz w:val="21"/>
      <w:szCs w:val="21"/>
      <w:bdr w:val="single" w:color="999999" w:sz="6" w:space="0"/>
      <w:shd w:val="clear" w:fill="FFFFFF"/>
    </w:rPr>
  </w:style>
  <w:style w:type="character" w:styleId="8">
    <w:name w:val="Hyperlink"/>
    <w:basedOn w:val="4"/>
    <w:qFormat/>
    <w:uiPriority w:val="0"/>
    <w:rPr>
      <w:color w:val="666666"/>
      <w:u w:val="non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2020-11-25T01:41:00Z</dcterms:created>
  <dc:creator>Lenovo</dc:creator>
  <cp:lastModifiedBy>宜阳县城市管理局</cp:lastModifiedBy>
  <dcterms:modified xsi:type="dcterms:W3CDTF">2020-12-18T09:21:04Z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WPS 文字</vt:lpwstr>
  </property>
  <property fmtid="{D5CDD505-2E9C-101B-9397-08002B2CF9AE}" pid="4" name="LastSaved">
    <vt:filetime>2020-11-25T00:00:00Z</vt:filetime>
  </property>
  <property fmtid="{D5CDD505-2E9C-101B-9397-08002B2CF9AE}" pid="5" name="KSOProductBuildVer">
    <vt:lpwstr>2052-11.1.0.9513</vt:lpwstr>
  </property>
</Properties>
</file>