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32" w:lineRule="exact"/>
        <w:ind w:left="5560" w:right="6140"/>
        <w:jc w:val="center"/>
      </w:pPr>
      <w:r>
        <w:rPr>
          <w:rFonts w:hint="eastAsia" w:ascii="方正大标宋简体" w:hAnsi="方正大标宋简体" w:eastAsia="方正大标宋简体" w:cs="方正大标宋简体"/>
          <w:lang w:val="en-US" w:eastAsia="zh-CN"/>
        </w:rPr>
        <w:t>宜阳县</w:t>
      </w:r>
      <w:r>
        <w:rPr>
          <w:rFonts w:hint="eastAsia" w:ascii="方正大标宋简体" w:hAnsi="方正大标宋简体" w:eastAsia="方正大标宋简体" w:cs="方正大标宋简体"/>
        </w:rPr>
        <w:t>城市综合执法领域基层政务公开标准目录</w:t>
      </w:r>
    </w:p>
    <w:p>
      <w:pPr>
        <w:pStyle w:val="2"/>
        <w:spacing w:before="3"/>
        <w:rPr>
          <w:sz w:val="22"/>
        </w:r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63" w:type="dxa"/>
            <w:vMerge w:val="restart"/>
          </w:tcPr>
          <w:p>
            <w:pPr>
              <w:pStyle w:val="11"/>
              <w:spacing w:before="2"/>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7"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245" w:right="231"/>
              <w:jc w:val="center"/>
              <w:rPr>
                <w:sz w:val="24"/>
              </w:rPr>
            </w:pPr>
            <w:r>
              <w:rPr>
                <w:sz w:val="24"/>
              </w:rPr>
              <w:t>1</w:t>
            </w:r>
          </w:p>
        </w:tc>
        <w:tc>
          <w:tcPr>
            <w:tcW w:w="707" w:type="dxa"/>
            <w:vMerge w:val="restart"/>
            <w:tcBorders>
              <w:top w:val="nil"/>
            </w:tcBorders>
            <w:vAlign w:val="center"/>
          </w:tcPr>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hint="eastAsia"/>
                <w:sz w:val="24"/>
                <w:lang w:eastAsia="zh-CN"/>
              </w:rPr>
            </w:pPr>
          </w:p>
          <w:p>
            <w:pPr>
              <w:ind w:left="0" w:leftChars="0" w:right="0" w:rightChars="0"/>
              <w:jc w:val="center"/>
              <w:rPr>
                <w:rFonts w:ascii="方正小标宋简体"/>
                <w:sz w:val="24"/>
                <w:szCs w:val="24"/>
              </w:rPr>
            </w:pPr>
            <w:r>
              <w:rPr>
                <w:rFonts w:hint="eastAsia"/>
                <w:sz w:val="24"/>
                <w:szCs w:val="24"/>
                <w:lang w:eastAsia="zh-CN"/>
              </w:rPr>
              <w:t>城市</w:t>
            </w:r>
            <w:r>
              <w:rPr>
                <w:sz w:val="24"/>
                <w:szCs w:val="24"/>
              </w:rPr>
              <w:t>管理</w:t>
            </w:r>
          </w:p>
          <w:p>
            <w:pPr>
              <w:pStyle w:val="11"/>
              <w:jc w:val="center"/>
              <w:rPr>
                <w:rFonts w:ascii="方正小标宋简体"/>
                <w:sz w:val="24"/>
              </w:rPr>
            </w:pPr>
          </w:p>
          <w:p>
            <w:pPr>
              <w:pStyle w:val="11"/>
              <w:jc w:val="both"/>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jc w:val="center"/>
              <w:rPr>
                <w:rFonts w:ascii="方正小标宋简体"/>
                <w:sz w:val="24"/>
              </w:rPr>
            </w:pPr>
          </w:p>
          <w:p>
            <w:pPr>
              <w:pStyle w:val="11"/>
              <w:spacing w:line="280" w:lineRule="auto"/>
              <w:ind w:left="112" w:leftChars="0" w:right="97" w:rightChars="0"/>
              <w:jc w:val="center"/>
              <w:rPr>
                <w:rFonts w:ascii="宋体" w:hAnsi="宋体" w:eastAsia="宋体" w:cs="宋体"/>
                <w:sz w:val="24"/>
                <w:szCs w:val="22"/>
                <w:lang w:val="zh-CN" w:eastAsia="zh-CN" w:bidi="zh-CN"/>
              </w:rPr>
            </w:pPr>
          </w:p>
        </w:tc>
        <w:tc>
          <w:tcPr>
            <w:tcW w:w="1668" w:type="dxa"/>
            <w:vAlign w:val="center"/>
          </w:tcPr>
          <w:p>
            <w:pPr>
              <w:pStyle w:val="11"/>
              <w:spacing w:line="360" w:lineRule="atLeast"/>
              <w:ind w:left="106" w:right="-29"/>
              <w:jc w:val="left"/>
              <w:rPr>
                <w:sz w:val="24"/>
              </w:rPr>
            </w:pPr>
            <w:r>
              <w:rPr>
                <w:rFonts w:hint="eastAsia"/>
                <w:sz w:val="24"/>
              </w:rPr>
              <w:t>随地吐痰、便溺和乱泼污水，乱扔果皮、纸屑和烟头等废弃物的处罚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职权名称、行政处罚种类</w:t>
            </w:r>
            <w:r>
              <w:rPr>
                <w:rFonts w:hint="eastAsia"/>
                <w:spacing w:val="-10"/>
                <w:sz w:val="24"/>
                <w:lang w:val="en-US" w:eastAsia="zh-CN"/>
              </w:rPr>
              <w:t>、</w:t>
            </w:r>
            <w:r>
              <w:rPr>
                <w:rFonts w:hint="eastAsia"/>
                <w:spacing w:val="-10"/>
                <w:sz w:val="24"/>
                <w:lang w:eastAsia="zh-CN"/>
              </w:rPr>
              <w:t>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before="1" w:line="280" w:lineRule="auto"/>
              <w:ind w:right="91"/>
              <w:jc w:val="both"/>
              <w:rPr>
                <w:sz w:val="24"/>
              </w:rPr>
            </w:pPr>
            <w:r>
              <w:rPr>
                <w:rFonts w:hint="eastAsia"/>
                <w:sz w:val="18"/>
                <w:szCs w:val="18"/>
              </w:rPr>
              <w:t>《洛阳市城市市容和环境卫生管理条例》(河南省第十一届人民代表大会常务委员会第23次会议于2011年9月28日审议批准)《洛阳市城市市容和环境卫生管理条例》第三十八条第一、二项：“（一）随地吐痰、便溺、倾倒污水；（二）乱扔果皮、纸屑、烟头等废弃物；第四十条第一项：违反第十六条，第三十七条第二款，第三十八条第（一）、（二）、（三）项规定的，每次处以十元以上五十元以下罚款；违反第三十八条第（四）项规定的，每车次处以一百元罚款。”</w:t>
            </w:r>
          </w:p>
        </w:tc>
        <w:tc>
          <w:tcPr>
            <w:tcW w:w="1613" w:type="dxa"/>
          </w:tcPr>
          <w:p>
            <w:pPr>
              <w:pStyle w:val="11"/>
              <w:rPr>
                <w:rFonts w:ascii="方正小标宋简体"/>
                <w:sz w:val="24"/>
              </w:rPr>
            </w:pPr>
          </w:p>
          <w:p>
            <w:pPr>
              <w:pStyle w:val="11"/>
              <w:spacing w:before="4"/>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10"/>
              <w:rPr>
                <w:rFonts w:ascii="方正小标宋简体"/>
                <w:sz w:val="17"/>
              </w:rPr>
            </w:pPr>
          </w:p>
          <w:p>
            <w:pPr>
              <w:pStyle w:val="11"/>
              <w:spacing w:before="52"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4"/>
              <w:rPr>
                <w:rFonts w:ascii="方正小标宋简体"/>
                <w:sz w:val="21"/>
              </w:rPr>
            </w:pPr>
          </w:p>
          <w:p>
            <w:pPr>
              <w:pStyle w:val="11"/>
              <w:numPr>
                <w:ilvl w:val="0"/>
                <w:numId w:val="1"/>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1"/>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5"/>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0" w:hRule="atLeast"/>
        </w:trPr>
        <w:tc>
          <w:tcPr>
            <w:tcW w:w="772"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245" w:right="231"/>
              <w:jc w:val="center"/>
              <w:rPr>
                <w:sz w:val="24"/>
              </w:rPr>
            </w:pPr>
            <w:r>
              <w:rPr>
                <w:sz w:val="24"/>
              </w:rPr>
              <w:t>2</w:t>
            </w:r>
          </w:p>
        </w:tc>
        <w:tc>
          <w:tcPr>
            <w:tcW w:w="707" w:type="dxa"/>
            <w:vMerge w:val="continue"/>
            <w:tcBorders/>
          </w:tcPr>
          <w:p>
            <w:pPr>
              <w:ind w:left="0" w:leftChars="0" w:right="0" w:rightChars="0"/>
              <w:rPr>
                <w:sz w:val="2"/>
                <w:szCs w:val="2"/>
              </w:rPr>
            </w:pPr>
          </w:p>
        </w:tc>
        <w:tc>
          <w:tcPr>
            <w:tcW w:w="1668" w:type="dxa"/>
          </w:tcPr>
          <w:p>
            <w:pPr>
              <w:pStyle w:val="11"/>
              <w:rPr>
                <w:rFonts w:ascii="方正小标宋简体"/>
                <w:sz w:val="24"/>
              </w:rPr>
            </w:pPr>
          </w:p>
          <w:p>
            <w:pPr>
              <w:pStyle w:val="11"/>
              <w:spacing w:before="6"/>
              <w:rPr>
                <w:rFonts w:ascii="方正小标宋简体"/>
                <w:sz w:val="31"/>
              </w:rPr>
            </w:pPr>
          </w:p>
          <w:p>
            <w:pPr>
              <w:pStyle w:val="11"/>
              <w:spacing w:line="280" w:lineRule="auto"/>
              <w:ind w:left="106" w:right="92"/>
              <w:jc w:val="both"/>
              <w:rPr>
                <w:sz w:val="24"/>
              </w:rPr>
            </w:pPr>
            <w:r>
              <w:rPr>
                <w:rFonts w:hint="eastAsia"/>
                <w:sz w:val="24"/>
              </w:rPr>
              <w:t>在主要街道临街建筑物的阳台和窗外堆放、吊挂有碍市容物品的处罚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职权名称、行政处罚种类</w:t>
            </w:r>
            <w:r>
              <w:rPr>
                <w:rFonts w:hint="eastAsia"/>
                <w:spacing w:val="-10"/>
                <w:sz w:val="24"/>
                <w:lang w:val="en-US" w:eastAsia="zh-CN"/>
              </w:rPr>
              <w:t>、</w:t>
            </w:r>
            <w:r>
              <w:rPr>
                <w:rFonts w:hint="eastAsia"/>
                <w:spacing w:val="-10"/>
                <w:sz w:val="24"/>
                <w:lang w:eastAsia="zh-CN"/>
              </w:rPr>
              <w:t>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2" w:after="0" w:line="240" w:lineRule="auto"/>
              <w:ind w:right="0" w:rightChars="0"/>
              <w:jc w:val="left"/>
              <w:rPr>
                <w:sz w:val="24"/>
              </w:rPr>
            </w:pPr>
            <w:r>
              <w:rPr>
                <w:rFonts w:hint="eastAsia"/>
                <w:sz w:val="24"/>
                <w:lang w:val="en-US" w:eastAsia="zh-CN"/>
              </w:rPr>
              <w:t>8.</w:t>
            </w:r>
            <w:r>
              <w:rPr>
                <w:sz w:val="24"/>
              </w:rPr>
              <w:t>救济渠道。</w:t>
            </w:r>
          </w:p>
        </w:tc>
        <w:tc>
          <w:tcPr>
            <w:tcW w:w="2887" w:type="dxa"/>
          </w:tcPr>
          <w:p>
            <w:pPr>
              <w:pStyle w:val="11"/>
              <w:spacing w:line="280" w:lineRule="auto"/>
              <w:ind w:right="91"/>
              <w:jc w:val="both"/>
              <w:rPr>
                <w:sz w:val="24"/>
              </w:rPr>
            </w:pPr>
            <w:r>
              <w:rPr>
                <w:rFonts w:hint="eastAsia"/>
                <w:sz w:val="18"/>
                <w:szCs w:val="18"/>
              </w:rPr>
              <w:t>《洛阳市城市市容和环境卫生管理条例》（河南省第十一届人民代表大会常务委员会第23次会议于2011年9月28日审议批准）第十六条：“ 在城市主要街道临街建筑物的阳台、平台、外走廊和窗外，不得违反规定吊挂或者堆放有碍市容的物品。搭建或者封闭阳台，必须符合市、县（市、区）人民政府市容环境卫生行政主管部门的有关规定。”第四十条第（一）项：“违反第十六条，第三十七条第二款，第三十八条第（一）、（二）、（三）项规定的，每次处以十元以上五十元以下罚款；违反第三十八条第（四）项规定的，每车次处以一百元罚款。”</w:t>
            </w:r>
          </w:p>
        </w:tc>
        <w:tc>
          <w:tcPr>
            <w:tcW w:w="1613" w:type="dxa"/>
          </w:tcPr>
          <w:p>
            <w:pPr>
              <w:pStyle w:val="11"/>
              <w:rPr>
                <w:rFonts w:ascii="方正小标宋简体"/>
                <w:sz w:val="24"/>
              </w:rPr>
            </w:pPr>
          </w:p>
          <w:p>
            <w:pPr>
              <w:pStyle w:val="11"/>
              <w:spacing w:before="3"/>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tcPr>
          <w:p>
            <w:pPr>
              <w:pStyle w:val="11"/>
              <w:rPr>
                <w:rFonts w:ascii="方正小标宋简体"/>
                <w:sz w:val="24"/>
              </w:rPr>
            </w:pPr>
          </w:p>
          <w:p>
            <w:pPr>
              <w:pStyle w:val="11"/>
              <w:rPr>
                <w:rFonts w:ascii="方正小标宋简体"/>
                <w:sz w:val="24"/>
              </w:rPr>
            </w:pPr>
          </w:p>
          <w:p>
            <w:pPr>
              <w:pStyle w:val="11"/>
              <w:spacing w:before="9"/>
              <w:rPr>
                <w:rFonts w:ascii="方正小标宋简体"/>
                <w:sz w:val="17"/>
              </w:rPr>
            </w:pPr>
          </w:p>
          <w:p>
            <w:pPr>
              <w:pStyle w:val="11"/>
              <w:spacing w:before="53" w:line="280" w:lineRule="auto"/>
              <w:ind w:left="107" w:right="107"/>
              <w:jc w:val="right"/>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21"/>
              </w:rPr>
            </w:pPr>
          </w:p>
          <w:p>
            <w:pPr>
              <w:pStyle w:val="11"/>
              <w:numPr>
                <w:ilvl w:val="0"/>
                <w:numId w:val="2"/>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2"/>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34"/>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90" w:hRule="atLeast"/>
        </w:trPr>
        <w:tc>
          <w:tcPr>
            <w:tcW w:w="772"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245" w:leftChars="0" w:right="231" w:rightChars="0"/>
              <w:jc w:val="center"/>
              <w:rPr>
                <w:rFonts w:ascii="宋体" w:hAnsi="宋体" w:eastAsia="宋体" w:cs="宋体"/>
                <w:sz w:val="24"/>
                <w:szCs w:val="22"/>
                <w:lang w:val="zh-CN" w:eastAsia="zh-CN" w:bidi="zh-CN"/>
              </w:rPr>
            </w:pPr>
            <w:r>
              <w:rPr>
                <w:sz w:val="24"/>
              </w:rPr>
              <w:t>3</w:t>
            </w:r>
          </w:p>
        </w:tc>
        <w:tc>
          <w:tcPr>
            <w:tcW w:w="707" w:type="dxa"/>
            <w:vMerge w:val="continue"/>
            <w:tcBorders/>
            <w:vAlign w:val="top"/>
          </w:tcPr>
          <w:p>
            <w:pPr>
              <w:pStyle w:val="11"/>
              <w:spacing w:line="280" w:lineRule="auto"/>
              <w:ind w:left="112" w:leftChars="0" w:right="97" w:rightChars="0"/>
              <w:jc w:val="both"/>
              <w:rPr>
                <w:rFonts w:ascii="宋体" w:hAnsi="宋体" w:eastAsia="宋体" w:cs="宋体"/>
                <w:sz w:val="24"/>
                <w:szCs w:val="22"/>
                <w:lang w:val="zh-CN" w:eastAsia="zh-CN" w:bidi="zh-CN"/>
              </w:rPr>
            </w:pPr>
          </w:p>
        </w:tc>
        <w:tc>
          <w:tcPr>
            <w:tcW w:w="1668" w:type="dxa"/>
            <w:vAlign w:val="center"/>
          </w:tcPr>
          <w:p>
            <w:pPr>
              <w:pStyle w:val="11"/>
              <w:spacing w:before="10"/>
              <w:jc w:val="left"/>
              <w:rPr>
                <w:rFonts w:ascii="方正小标宋简体"/>
                <w:sz w:val="24"/>
              </w:rPr>
            </w:pPr>
          </w:p>
          <w:p>
            <w:pPr>
              <w:pStyle w:val="11"/>
              <w:spacing w:line="280" w:lineRule="auto"/>
              <w:ind w:left="106" w:leftChars="0" w:right="92" w:rightChars="0"/>
              <w:jc w:val="left"/>
              <w:rPr>
                <w:rFonts w:hint="eastAsia" w:ascii="宋体" w:hAnsi="宋体" w:eastAsia="宋体" w:cs="宋体"/>
                <w:sz w:val="24"/>
                <w:szCs w:val="22"/>
                <w:lang w:val="zh-CN" w:eastAsia="zh-CN" w:bidi="zh-CN"/>
              </w:rPr>
            </w:pPr>
            <w:r>
              <w:rPr>
                <w:rFonts w:hint="eastAsia"/>
                <w:sz w:val="24"/>
              </w:rPr>
              <w:t>在城市建筑物、设施以及树木上涂写、刻画，或者未经批准张挂、张贴宣传品等的处罚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职权名称、行政处罚种类</w:t>
            </w:r>
            <w:r>
              <w:rPr>
                <w:rFonts w:hint="eastAsia"/>
                <w:spacing w:val="-10"/>
                <w:sz w:val="24"/>
                <w:lang w:val="en-US" w:eastAsia="zh-CN"/>
              </w:rPr>
              <w:t>、</w:t>
            </w:r>
            <w:r>
              <w:rPr>
                <w:rFonts w:hint="eastAsia"/>
                <w:spacing w:val="-10"/>
                <w:sz w:val="24"/>
                <w:lang w:eastAsia="zh-CN"/>
              </w:rPr>
              <w:t>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2" w:after="0" w:line="240" w:lineRule="auto"/>
              <w:ind w:left="0" w:leftChars="0" w:right="0" w:rightChars="0" w:firstLine="0" w:firstLineChars="0"/>
              <w:jc w:val="left"/>
              <w:rPr>
                <w:rFonts w:hint="eastAsia" w:ascii="宋体" w:hAnsi="宋体" w:eastAsia="宋体" w:cs="宋体"/>
                <w:sz w:val="24"/>
                <w:szCs w:val="22"/>
                <w:lang w:val="en-US" w:eastAsia="zh-CN" w:bidi="zh-CN"/>
              </w:rPr>
            </w:pPr>
            <w:r>
              <w:rPr>
                <w:rFonts w:hint="eastAsia"/>
                <w:sz w:val="24"/>
                <w:lang w:val="en-US" w:eastAsia="zh-CN"/>
              </w:rPr>
              <w:t>8.</w:t>
            </w:r>
            <w:r>
              <w:rPr>
                <w:sz w:val="24"/>
              </w:rPr>
              <w:t>救济渠道。</w:t>
            </w:r>
          </w:p>
        </w:tc>
        <w:tc>
          <w:tcPr>
            <w:tcW w:w="2887" w:type="dxa"/>
            <w:vAlign w:val="top"/>
          </w:tcPr>
          <w:p>
            <w:pPr>
              <w:pStyle w:val="11"/>
              <w:spacing w:before="1" w:line="280" w:lineRule="auto"/>
              <w:ind w:left="0" w:leftChars="0" w:right="91" w:rightChars="0"/>
              <w:jc w:val="both"/>
              <w:rPr>
                <w:rFonts w:hint="eastAsia"/>
                <w:sz w:val="21"/>
                <w:szCs w:val="21"/>
              </w:rPr>
            </w:pPr>
          </w:p>
          <w:p>
            <w:pPr>
              <w:pStyle w:val="11"/>
              <w:spacing w:before="1" w:line="280" w:lineRule="auto"/>
              <w:ind w:left="0" w:leftChars="0" w:right="91" w:rightChars="0"/>
              <w:jc w:val="both"/>
              <w:rPr>
                <w:rFonts w:hint="eastAsia" w:ascii="宋体" w:hAnsi="宋体" w:eastAsia="宋体" w:cs="宋体"/>
                <w:sz w:val="24"/>
                <w:szCs w:val="22"/>
                <w:lang w:val="zh-CN" w:eastAsia="zh-CN" w:bidi="zh-CN"/>
              </w:rPr>
            </w:pPr>
            <w:r>
              <w:rPr>
                <w:rFonts w:hint="eastAsia"/>
                <w:sz w:val="21"/>
                <w:szCs w:val="21"/>
              </w:rPr>
              <w:t>《洛阳市城市市容和环境卫生管理条例》（河南省第十一届人民代表大会常务委员会第23次会议于2011年9月28日审议批准）第四十条第六项：“违反第二十二条第一款、第三款规定的，每处处以一百元以上五百元以下罚款。”</w:t>
            </w:r>
          </w:p>
        </w:tc>
        <w:tc>
          <w:tcPr>
            <w:tcW w:w="1613" w:type="dxa"/>
            <w:vAlign w:val="top"/>
          </w:tcPr>
          <w:p>
            <w:pPr>
              <w:pStyle w:val="11"/>
              <w:rPr>
                <w:rFonts w:ascii="方正小标宋简体"/>
                <w:sz w:val="24"/>
              </w:rPr>
            </w:pPr>
          </w:p>
          <w:p>
            <w:pPr>
              <w:pStyle w:val="11"/>
              <w:spacing w:before="16"/>
              <w:rPr>
                <w:rFonts w:ascii="方正小标宋简体"/>
                <w:sz w:val="20"/>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hint="eastAsia" w:ascii="宋体" w:hAnsi="宋体" w:eastAsia="宋体" w:cs="宋体"/>
                <w:sz w:val="24"/>
                <w:szCs w:val="22"/>
                <w:lang w:val="en-US" w:eastAsia="zh-CN" w:bidi="zh-CN"/>
              </w:rPr>
            </w:pPr>
            <w:r>
              <w:rPr>
                <w:rFonts w:hint="eastAsia"/>
                <w:sz w:val="24"/>
                <w:lang w:val="en-US" w:eastAsia="zh-CN"/>
              </w:rPr>
              <w:t>90</w:t>
            </w:r>
            <w:r>
              <w:rPr>
                <w:sz w:val="24"/>
              </w:rPr>
              <w:t>个工作日内。</w:t>
            </w:r>
          </w:p>
        </w:tc>
        <w:tc>
          <w:tcPr>
            <w:tcW w:w="712" w:type="dxa"/>
            <w:vAlign w:val="top"/>
          </w:tcPr>
          <w:p>
            <w:pPr>
              <w:pStyle w:val="11"/>
              <w:rPr>
                <w:rFonts w:ascii="方正小标宋简体"/>
                <w:sz w:val="24"/>
              </w:rPr>
            </w:pPr>
          </w:p>
          <w:p>
            <w:pPr>
              <w:pStyle w:val="11"/>
              <w:rPr>
                <w:rFonts w:ascii="方正小标宋简体"/>
                <w:sz w:val="24"/>
              </w:rPr>
            </w:pPr>
          </w:p>
          <w:p>
            <w:pPr>
              <w:pStyle w:val="11"/>
              <w:spacing w:before="4"/>
              <w:rPr>
                <w:rFonts w:ascii="方正小标宋简体"/>
                <w:sz w:val="17"/>
              </w:rPr>
            </w:pPr>
          </w:p>
          <w:p>
            <w:pPr>
              <w:pStyle w:val="11"/>
              <w:spacing w:before="53" w:line="280" w:lineRule="auto"/>
              <w:ind w:left="107" w:leftChars="0" w:right="107" w:rightChars="0"/>
              <w:jc w:val="right"/>
              <w:rPr>
                <w:rFonts w:hint="eastAsia" w:ascii="宋体" w:hAnsi="宋体" w:eastAsia="宋体" w:cs="宋体"/>
                <w:sz w:val="24"/>
                <w:szCs w:val="22"/>
                <w:lang w:val="en-US"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spacing w:before="16"/>
              <w:rPr>
                <w:rFonts w:ascii="方正小标宋简体"/>
                <w:sz w:val="20"/>
              </w:rPr>
            </w:pPr>
          </w:p>
          <w:p>
            <w:pPr>
              <w:pStyle w:val="11"/>
              <w:numPr>
                <w:ilvl w:val="0"/>
                <w:numId w:val="3"/>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3"/>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7"/>
              <w:rPr>
                <w:rFonts w:ascii="方正小标宋简体"/>
                <w:sz w:val="33"/>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bl>
    <w:p>
      <w:pPr>
        <w:spacing w:after="0"/>
        <w:jc w:val="center"/>
        <w:rPr>
          <w:sz w:val="24"/>
        </w:rPr>
        <w:sectPr>
          <w:pgSz w:w="23760" w:h="16790" w:orient="landscape"/>
          <w:pgMar w:top="1440" w:right="1100" w:bottom="280" w:left="1680" w:header="720" w:footer="720" w:gutter="0"/>
        </w:sectPr>
      </w:pPr>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2"/>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49"/>
              <w:ind w:left="705"/>
              <w:rPr>
                <w:sz w:val="24"/>
              </w:rPr>
            </w:pPr>
            <w:r>
              <w:rPr>
                <w:sz w:val="24"/>
              </w:rPr>
              <w:t>公开事项</w:t>
            </w:r>
          </w:p>
        </w:tc>
        <w:tc>
          <w:tcPr>
            <w:tcW w:w="3263" w:type="dxa"/>
            <w:vMerge w:val="restart"/>
          </w:tcPr>
          <w:p>
            <w:pPr>
              <w:pStyle w:val="11"/>
              <w:spacing w:before="2"/>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2"/>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17"/>
              <w:rPr>
                <w:rFonts w:ascii="方正小标宋简体"/>
                <w:sz w:val="18"/>
              </w:rPr>
            </w:pPr>
          </w:p>
          <w:p>
            <w:pPr>
              <w:pStyle w:val="11"/>
              <w:spacing w:line="280" w:lineRule="auto"/>
              <w:ind w:left="566" w:right="549"/>
              <w:jc w:val="center"/>
              <w:rPr>
                <w:sz w:val="24"/>
              </w:rPr>
            </w:pPr>
            <w:r>
              <w:rPr>
                <w:sz w:val="24"/>
              </w:rPr>
              <w:t>公开时限</w:t>
            </w:r>
          </w:p>
        </w:tc>
        <w:tc>
          <w:tcPr>
            <w:tcW w:w="712" w:type="dxa"/>
            <w:vMerge w:val="restart"/>
          </w:tcPr>
          <w:p>
            <w:pPr>
              <w:pStyle w:val="11"/>
              <w:spacing w:before="17"/>
              <w:rPr>
                <w:rFonts w:ascii="方正小标宋简体"/>
                <w:sz w:val="18"/>
              </w:rPr>
            </w:pPr>
          </w:p>
          <w:p>
            <w:pPr>
              <w:pStyle w:val="11"/>
              <w:spacing w:line="280" w:lineRule="auto"/>
              <w:ind w:left="114" w:right="100"/>
              <w:rPr>
                <w:sz w:val="24"/>
              </w:rPr>
            </w:pPr>
            <w:r>
              <w:rPr>
                <w:sz w:val="24"/>
              </w:rPr>
              <w:t>公开主体</w:t>
            </w:r>
          </w:p>
        </w:tc>
        <w:tc>
          <w:tcPr>
            <w:tcW w:w="4463" w:type="dxa"/>
            <w:vMerge w:val="restart"/>
          </w:tcPr>
          <w:p>
            <w:pPr>
              <w:pStyle w:val="11"/>
              <w:spacing w:before="2"/>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49"/>
              <w:ind w:left="294"/>
              <w:rPr>
                <w:sz w:val="24"/>
              </w:rPr>
            </w:pPr>
            <w:r>
              <w:rPr>
                <w:sz w:val="24"/>
              </w:rPr>
              <w:t>公开对象</w:t>
            </w:r>
          </w:p>
        </w:tc>
        <w:tc>
          <w:tcPr>
            <w:tcW w:w="1550" w:type="dxa"/>
            <w:gridSpan w:val="2"/>
          </w:tcPr>
          <w:p>
            <w:pPr>
              <w:pStyle w:val="11"/>
              <w:spacing w:before="149"/>
              <w:ind w:left="294"/>
              <w:rPr>
                <w:sz w:val="24"/>
              </w:rPr>
            </w:pPr>
            <w:r>
              <w:rPr>
                <w:sz w:val="24"/>
              </w:rPr>
              <w:t>公开方式</w:t>
            </w:r>
          </w:p>
        </w:tc>
        <w:tc>
          <w:tcPr>
            <w:tcW w:w="1550" w:type="dxa"/>
            <w:gridSpan w:val="2"/>
          </w:tcPr>
          <w:p>
            <w:pPr>
              <w:pStyle w:val="11"/>
              <w:spacing w:before="149"/>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772" w:type="dxa"/>
            <w:vMerge w:val="continue"/>
            <w:tcBorders>
              <w:top w:val="nil"/>
            </w:tcBorders>
          </w:tcPr>
          <w:p>
            <w:pPr>
              <w:rPr>
                <w:sz w:val="2"/>
                <w:szCs w:val="2"/>
              </w:rPr>
            </w:pPr>
          </w:p>
        </w:tc>
        <w:tc>
          <w:tcPr>
            <w:tcW w:w="707" w:type="dxa"/>
          </w:tcPr>
          <w:p>
            <w:pPr>
              <w:pStyle w:val="11"/>
              <w:spacing w:before="47"/>
              <w:ind w:left="112"/>
              <w:rPr>
                <w:sz w:val="24"/>
              </w:rPr>
            </w:pPr>
            <w:r>
              <w:rPr>
                <w:sz w:val="24"/>
              </w:rPr>
              <w:t>一级</w:t>
            </w:r>
          </w:p>
          <w:p>
            <w:pPr>
              <w:pStyle w:val="11"/>
              <w:spacing w:before="52" w:line="293" w:lineRule="exact"/>
              <w:ind w:left="112"/>
              <w:rPr>
                <w:sz w:val="24"/>
              </w:rPr>
            </w:pPr>
            <w:r>
              <w:rPr>
                <w:sz w:val="24"/>
              </w:rPr>
              <w:t>事项</w:t>
            </w:r>
          </w:p>
        </w:tc>
        <w:tc>
          <w:tcPr>
            <w:tcW w:w="1668" w:type="dxa"/>
          </w:tcPr>
          <w:p>
            <w:pPr>
              <w:pStyle w:val="11"/>
              <w:spacing w:before="14"/>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47"/>
              <w:ind w:left="267"/>
              <w:rPr>
                <w:sz w:val="24"/>
              </w:rPr>
            </w:pPr>
            <w:r>
              <w:rPr>
                <w:sz w:val="24"/>
              </w:rPr>
              <w:t>全</w:t>
            </w:r>
          </w:p>
          <w:p>
            <w:pPr>
              <w:pStyle w:val="11"/>
              <w:spacing w:before="52" w:line="293" w:lineRule="exact"/>
              <w:ind w:left="147"/>
              <w:rPr>
                <w:sz w:val="24"/>
              </w:rPr>
            </w:pPr>
            <w:r>
              <w:rPr>
                <w:sz w:val="24"/>
              </w:rPr>
              <w:t>社会</w:t>
            </w:r>
          </w:p>
        </w:tc>
        <w:tc>
          <w:tcPr>
            <w:tcW w:w="775" w:type="dxa"/>
          </w:tcPr>
          <w:p>
            <w:pPr>
              <w:pStyle w:val="11"/>
              <w:spacing w:before="47"/>
              <w:ind w:left="145"/>
              <w:rPr>
                <w:sz w:val="24"/>
              </w:rPr>
            </w:pPr>
            <w:r>
              <w:rPr>
                <w:sz w:val="24"/>
              </w:rPr>
              <w:t>特定</w:t>
            </w:r>
          </w:p>
          <w:p>
            <w:pPr>
              <w:pStyle w:val="11"/>
              <w:spacing w:before="52" w:line="293" w:lineRule="exact"/>
              <w:ind w:left="145"/>
              <w:rPr>
                <w:sz w:val="24"/>
              </w:rPr>
            </w:pPr>
            <w:r>
              <w:rPr>
                <w:sz w:val="24"/>
              </w:rPr>
              <w:t>群体</w:t>
            </w:r>
          </w:p>
        </w:tc>
        <w:tc>
          <w:tcPr>
            <w:tcW w:w="775" w:type="dxa"/>
          </w:tcPr>
          <w:p>
            <w:pPr>
              <w:pStyle w:val="11"/>
              <w:spacing w:before="14"/>
              <w:rPr>
                <w:rFonts w:ascii="方正小标宋简体"/>
                <w:sz w:val="12"/>
              </w:rPr>
            </w:pPr>
          </w:p>
          <w:p>
            <w:pPr>
              <w:pStyle w:val="11"/>
              <w:ind w:left="125" w:right="114"/>
              <w:jc w:val="center"/>
              <w:rPr>
                <w:sz w:val="24"/>
              </w:rPr>
            </w:pPr>
            <w:r>
              <w:rPr>
                <w:sz w:val="24"/>
              </w:rPr>
              <w:t>主动</w:t>
            </w:r>
          </w:p>
        </w:tc>
        <w:tc>
          <w:tcPr>
            <w:tcW w:w="775" w:type="dxa"/>
          </w:tcPr>
          <w:p>
            <w:pPr>
              <w:pStyle w:val="11"/>
              <w:spacing w:before="47"/>
              <w:ind w:left="11"/>
              <w:jc w:val="center"/>
              <w:rPr>
                <w:sz w:val="24"/>
              </w:rPr>
            </w:pPr>
            <w:r>
              <w:rPr>
                <w:sz w:val="24"/>
              </w:rPr>
              <w:t>依</w:t>
            </w:r>
          </w:p>
          <w:p>
            <w:pPr>
              <w:pStyle w:val="11"/>
              <w:spacing w:before="52" w:line="293" w:lineRule="exact"/>
              <w:ind w:left="125" w:right="114"/>
              <w:jc w:val="center"/>
              <w:rPr>
                <w:sz w:val="24"/>
              </w:rPr>
            </w:pPr>
            <w:r>
              <w:rPr>
                <w:sz w:val="24"/>
              </w:rPr>
              <w:t>申请</w:t>
            </w:r>
          </w:p>
        </w:tc>
        <w:tc>
          <w:tcPr>
            <w:tcW w:w="775" w:type="dxa"/>
          </w:tcPr>
          <w:p>
            <w:pPr>
              <w:pStyle w:val="11"/>
              <w:spacing w:before="14"/>
              <w:rPr>
                <w:rFonts w:ascii="方正小标宋简体"/>
                <w:sz w:val="12"/>
              </w:rPr>
            </w:pPr>
          </w:p>
          <w:p>
            <w:pPr>
              <w:pStyle w:val="11"/>
              <w:ind w:left="125" w:right="113"/>
              <w:jc w:val="center"/>
              <w:rPr>
                <w:sz w:val="24"/>
              </w:rPr>
            </w:pPr>
            <w:r>
              <w:rPr>
                <w:sz w:val="24"/>
              </w:rPr>
              <w:t>市级</w:t>
            </w:r>
          </w:p>
        </w:tc>
        <w:tc>
          <w:tcPr>
            <w:tcW w:w="775" w:type="dxa"/>
          </w:tcPr>
          <w:p>
            <w:pPr>
              <w:pStyle w:val="11"/>
              <w:spacing w:before="14"/>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4" w:hRule="atLeast"/>
        </w:trPr>
        <w:tc>
          <w:tcPr>
            <w:tcW w:w="772"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245" w:leftChars="0" w:right="231" w:rightChars="0"/>
              <w:jc w:val="center"/>
              <w:rPr>
                <w:rFonts w:ascii="宋体" w:hAnsi="宋体" w:eastAsia="宋体" w:cs="宋体"/>
                <w:sz w:val="24"/>
                <w:szCs w:val="22"/>
                <w:lang w:val="zh-CN" w:eastAsia="zh-CN" w:bidi="zh-CN"/>
              </w:rPr>
            </w:pPr>
            <w:r>
              <w:rPr>
                <w:sz w:val="24"/>
              </w:rPr>
              <w:t>4</w:t>
            </w:r>
          </w:p>
        </w:tc>
        <w:tc>
          <w:tcPr>
            <w:tcW w:w="707" w:type="dxa"/>
            <w:vMerge w:val="restart"/>
            <w:vAlign w:val="top"/>
          </w:tcPr>
          <w:p>
            <w:pPr>
              <w:ind w:left="0" w:leftChars="0" w:right="0" w:rightChars="0"/>
              <w:rPr>
                <w:rFonts w:ascii="宋体" w:hAnsi="宋体" w:eastAsia="宋体" w:cs="宋体"/>
                <w:sz w:val="2"/>
                <w:szCs w:val="2"/>
                <w:lang w:val="zh-CN" w:eastAsia="zh-CN" w:bidi="zh-CN"/>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sz w:val="24"/>
                <w:szCs w:val="24"/>
                <w:lang w:val="zh-CN" w:eastAsia="zh-CN"/>
              </w:rPr>
            </w:pPr>
          </w:p>
          <w:p>
            <w:pPr>
              <w:bidi w:val="0"/>
              <w:jc w:val="center"/>
              <w:rPr>
                <w:rFonts w:hint="eastAsia"/>
                <w:sz w:val="24"/>
                <w:szCs w:val="24"/>
                <w:lang w:val="zh-CN" w:eastAsia="zh-CN"/>
              </w:rPr>
            </w:pPr>
            <w:r>
              <w:rPr>
                <w:rFonts w:hint="eastAsia"/>
                <w:sz w:val="24"/>
                <w:szCs w:val="24"/>
                <w:lang w:val="zh-CN" w:eastAsia="zh-CN"/>
              </w:rPr>
              <w:t>城市</w:t>
            </w:r>
          </w:p>
          <w:p>
            <w:pPr>
              <w:bidi w:val="0"/>
              <w:jc w:val="center"/>
              <w:rPr>
                <w:lang w:val="zh-CN" w:eastAsia="zh-CN"/>
              </w:rPr>
            </w:pPr>
            <w:r>
              <w:rPr>
                <w:rFonts w:hint="eastAsia"/>
                <w:sz w:val="24"/>
                <w:szCs w:val="24"/>
                <w:lang w:val="zh-CN" w:eastAsia="zh-CN"/>
              </w:rPr>
              <w:t>管理</w:t>
            </w:r>
          </w:p>
        </w:tc>
        <w:tc>
          <w:tcPr>
            <w:tcW w:w="1668" w:type="dxa"/>
            <w:vAlign w:val="top"/>
          </w:tcPr>
          <w:p>
            <w:pPr>
              <w:pStyle w:val="11"/>
              <w:rPr>
                <w:rFonts w:ascii="方正小标宋简体"/>
                <w:sz w:val="24"/>
              </w:rPr>
            </w:pPr>
          </w:p>
          <w:p>
            <w:pPr>
              <w:pStyle w:val="11"/>
              <w:rPr>
                <w:rFonts w:ascii="方正小标宋简体"/>
                <w:sz w:val="24"/>
              </w:rPr>
            </w:pPr>
          </w:p>
          <w:p>
            <w:pPr>
              <w:pStyle w:val="11"/>
              <w:spacing w:before="9"/>
              <w:rPr>
                <w:rFonts w:ascii="方正小标宋简体"/>
                <w:sz w:val="27"/>
              </w:rPr>
            </w:pPr>
          </w:p>
          <w:p>
            <w:pPr>
              <w:pStyle w:val="11"/>
              <w:spacing w:before="1" w:line="280" w:lineRule="auto"/>
              <w:ind w:left="106" w:leftChars="0" w:right="92" w:rightChars="0"/>
              <w:rPr>
                <w:rFonts w:ascii="宋体" w:hAnsi="宋体" w:eastAsia="宋体" w:cs="宋体"/>
                <w:sz w:val="24"/>
                <w:szCs w:val="22"/>
                <w:lang w:val="zh-CN" w:eastAsia="zh-CN" w:bidi="zh-CN"/>
              </w:rPr>
            </w:pPr>
            <w:r>
              <w:rPr>
                <w:rFonts w:hint="eastAsia"/>
                <w:sz w:val="24"/>
              </w:rPr>
              <w:t>不按规定的时间、地点、方式倾倒垃圾、粪便的处罚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0"/>
                <w:sz w:val="24"/>
                <w:lang w:val="en-US" w:eastAsia="zh-CN"/>
              </w:rPr>
              <w:t>1.职权编号</w:t>
            </w:r>
            <w:r>
              <w:rPr>
                <w:spacing w:val="-10"/>
                <w:sz w:val="24"/>
              </w:rPr>
              <w:t>、</w:t>
            </w:r>
            <w:r>
              <w:rPr>
                <w:rFonts w:hint="eastAsia"/>
                <w:spacing w:val="-10"/>
                <w:sz w:val="24"/>
                <w:lang w:eastAsia="zh-CN"/>
              </w:rPr>
              <w:t>清单事项种类</w:t>
            </w:r>
            <w:r>
              <w:rPr>
                <w:spacing w:val="-10"/>
                <w:sz w:val="24"/>
              </w:rPr>
              <w:t>、</w:t>
            </w:r>
            <w:r>
              <w:rPr>
                <w:rFonts w:hint="eastAsia"/>
                <w:spacing w:val="-10"/>
                <w:sz w:val="24"/>
                <w:lang w:eastAsia="zh-CN"/>
              </w:rPr>
              <w:t>职权名称、行政处罚种类</w:t>
            </w:r>
            <w:r>
              <w:rPr>
                <w:rFonts w:hint="eastAsia"/>
                <w:spacing w:val="-10"/>
                <w:sz w:val="24"/>
                <w:lang w:val="en-US" w:eastAsia="zh-CN"/>
              </w:rPr>
              <w:t>、</w:t>
            </w:r>
            <w:r>
              <w:rPr>
                <w:rFonts w:hint="eastAsia"/>
                <w:spacing w:val="-10"/>
                <w:sz w:val="24"/>
                <w:lang w:eastAsia="zh-CN"/>
              </w:rPr>
              <w:t>实施主体</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2.</w:t>
            </w:r>
            <w:r>
              <w:rPr>
                <w:rFonts w:hint="eastAsia"/>
                <w:sz w:val="24"/>
                <w:lang w:eastAsia="zh-CN"/>
              </w:rPr>
              <w:t>设立</w:t>
            </w:r>
            <w:r>
              <w:rPr>
                <w:sz w:val="24"/>
              </w:rPr>
              <w:t>依据</w:t>
            </w:r>
            <w:r>
              <w:rPr>
                <w:rFonts w:hint="eastAsia"/>
                <w:sz w:val="24"/>
                <w:lang w:eastAsia="zh-CN"/>
              </w:rPr>
              <w:t>、收费依据及标准</w:t>
            </w:r>
            <w:r>
              <w:rPr>
                <w:sz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pacing w:val="11"/>
                <w:sz w:val="24"/>
                <w:lang w:val="en-US" w:eastAsia="zh-CN"/>
              </w:rPr>
              <w:t>3.</w:t>
            </w:r>
            <w:r>
              <w:rPr>
                <w:rFonts w:hint="eastAsia"/>
                <w:spacing w:val="11"/>
                <w:sz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4.</w:t>
            </w:r>
            <w:r>
              <w:rPr>
                <w:rFonts w:hint="eastAsia"/>
                <w:sz w:val="24"/>
                <w:lang w:eastAsia="zh-CN"/>
              </w:rPr>
              <w:t>办理期限</w:t>
            </w:r>
            <w:r>
              <w:rPr>
                <w:sz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5.</w:t>
            </w:r>
            <w:r>
              <w:rPr>
                <w:rFonts w:hint="eastAsia"/>
                <w:sz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6.</w:t>
            </w:r>
            <w:r>
              <w:rPr>
                <w:rFonts w:hint="eastAsia"/>
                <w:sz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rPr>
            </w:pPr>
            <w:r>
              <w:rPr>
                <w:rFonts w:hint="eastAsia"/>
                <w:sz w:val="24"/>
                <w:lang w:val="en-US" w:eastAsia="zh-CN"/>
              </w:rPr>
              <w:t>7.监督投诉机构及联系电话</w:t>
            </w:r>
            <w:r>
              <w:rPr>
                <w:sz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lang w:val="en-US" w:eastAsia="zh-CN"/>
              </w:rPr>
              <w:t>8.</w:t>
            </w:r>
            <w:r>
              <w:rPr>
                <w:sz w:val="24"/>
              </w:rPr>
              <w:t>救济渠道。</w:t>
            </w:r>
          </w:p>
        </w:tc>
        <w:tc>
          <w:tcPr>
            <w:tcW w:w="2887" w:type="dxa"/>
            <w:vAlign w:val="top"/>
          </w:tcPr>
          <w:p>
            <w:pPr>
              <w:pStyle w:val="11"/>
              <w:spacing w:line="280" w:lineRule="auto"/>
              <w:ind w:left="0"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四十条第（七）项：“违反第三十一条第一款规定，不按照规定时间倾倒垃圾的，每次处以二十元以上五十元以下罚款；不按照规定的地点倾倒垃圾的，每立方米(不足一立方米的，按一立方米计)处以二百元罚款，但一次最高不得超过一万元。”</w:t>
            </w:r>
          </w:p>
        </w:tc>
        <w:tc>
          <w:tcPr>
            <w:tcW w:w="1613" w:type="dxa"/>
            <w:vAlign w:val="top"/>
          </w:tcPr>
          <w:p>
            <w:pPr>
              <w:pStyle w:val="11"/>
              <w:rPr>
                <w:rFonts w:ascii="方正小标宋简体"/>
                <w:sz w:val="24"/>
              </w:rPr>
            </w:pPr>
          </w:p>
          <w:p>
            <w:pPr>
              <w:pStyle w:val="11"/>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top"/>
          </w:tcPr>
          <w:p>
            <w:pPr>
              <w:pStyle w:val="11"/>
              <w:rPr>
                <w:rFonts w:ascii="方正小标宋简体"/>
                <w:sz w:val="24"/>
              </w:rPr>
            </w:pPr>
          </w:p>
          <w:p>
            <w:pPr>
              <w:pStyle w:val="11"/>
              <w:rPr>
                <w:rFonts w:ascii="方正小标宋简体"/>
                <w:sz w:val="24"/>
              </w:rPr>
            </w:pPr>
          </w:p>
          <w:p>
            <w:pPr>
              <w:pStyle w:val="11"/>
              <w:spacing w:before="6"/>
              <w:rPr>
                <w:rFonts w:ascii="方正小标宋简体"/>
                <w:sz w:val="17"/>
              </w:rPr>
            </w:pPr>
          </w:p>
          <w:p>
            <w:pPr>
              <w:pStyle w:val="11"/>
              <w:spacing w:before="52" w:line="280" w:lineRule="auto"/>
              <w:ind w:left="107" w:leftChars="0" w:right="107" w:rightChars="0"/>
              <w:jc w:val="right"/>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rPr>
                <w:rFonts w:ascii="方正小标宋简体"/>
                <w:sz w:val="21"/>
              </w:rPr>
            </w:pPr>
          </w:p>
          <w:p>
            <w:pPr>
              <w:pStyle w:val="11"/>
              <w:numPr>
                <w:ilvl w:val="0"/>
                <w:numId w:val="4"/>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4"/>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
              <w:rPr>
                <w:rFonts w:ascii="方正小标宋简体"/>
                <w:sz w:val="34"/>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34" w:hRule="atLeast"/>
        </w:trPr>
        <w:tc>
          <w:tcPr>
            <w:tcW w:w="772"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245" w:leftChars="0" w:right="231" w:rightChars="0"/>
              <w:jc w:val="center"/>
              <w:rPr>
                <w:rFonts w:ascii="宋体" w:hAnsi="宋体" w:eastAsia="宋体" w:cs="宋体"/>
                <w:sz w:val="24"/>
                <w:szCs w:val="22"/>
                <w:lang w:val="zh-CN" w:eastAsia="zh-CN" w:bidi="zh-CN"/>
              </w:rPr>
            </w:pPr>
            <w:r>
              <w:rPr>
                <w:sz w:val="24"/>
              </w:rPr>
              <w:t>5</w:t>
            </w:r>
          </w:p>
        </w:tc>
        <w:tc>
          <w:tcPr>
            <w:tcW w:w="707" w:type="dxa"/>
            <w:vMerge w:val="continue"/>
            <w:tcBorders>
              <w:top w:val="nil"/>
            </w:tcBorders>
            <w:vAlign w:val="top"/>
          </w:tcPr>
          <w:p>
            <w:pPr>
              <w:ind w:left="0" w:leftChars="0" w:right="0" w:rightChars="0"/>
              <w:rPr>
                <w:rFonts w:ascii="宋体" w:hAnsi="宋体" w:eastAsia="宋体" w:cs="宋体"/>
                <w:sz w:val="2"/>
                <w:szCs w:val="2"/>
                <w:lang w:val="zh-CN" w:eastAsia="zh-CN" w:bidi="zh-CN"/>
              </w:rPr>
            </w:pP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ascii="宋体" w:hAnsi="宋体" w:eastAsia="宋体" w:cs="宋体"/>
                <w:b w:val="0"/>
                <w:color w:val="auto"/>
                <w:sz w:val="24"/>
                <w:szCs w:val="24"/>
              </w:rPr>
              <w:t>不履行卫生责任区清扫保洁的，或冬季不履行除雪义务的处罚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4"/>
              <w:rPr>
                <w:rFonts w:ascii="方正小标宋简体"/>
                <w:sz w:val="34"/>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《河南省城市市容和环境卫生管理条例》实施办法（省政府令第29号）第三十条第五项：“不履行卫生责任区清扫保洁的，或冬季不履行除雪义务的，处以100元以上、1000元以下罚款。”</w:t>
            </w:r>
          </w:p>
        </w:tc>
        <w:tc>
          <w:tcPr>
            <w:tcW w:w="1613" w:type="dxa"/>
            <w:vAlign w:val="top"/>
          </w:tcPr>
          <w:p>
            <w:pPr>
              <w:pStyle w:val="11"/>
              <w:rPr>
                <w:rFonts w:ascii="方正小标宋简体"/>
                <w:sz w:val="24"/>
              </w:rPr>
            </w:pPr>
          </w:p>
          <w:p>
            <w:pPr>
              <w:pStyle w:val="11"/>
              <w:rPr>
                <w:rFonts w:ascii="方正小标宋简体"/>
                <w:sz w:val="21"/>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top"/>
          </w:tcPr>
          <w:p>
            <w:pPr>
              <w:pStyle w:val="11"/>
              <w:rPr>
                <w:rFonts w:ascii="方正小标宋简体"/>
                <w:sz w:val="24"/>
              </w:rPr>
            </w:pPr>
          </w:p>
          <w:p>
            <w:pPr>
              <w:pStyle w:val="11"/>
              <w:rPr>
                <w:rFonts w:ascii="方正小标宋简体"/>
                <w:sz w:val="24"/>
              </w:rPr>
            </w:pPr>
          </w:p>
          <w:p>
            <w:pPr>
              <w:pStyle w:val="11"/>
              <w:spacing w:before="6"/>
              <w:rPr>
                <w:rFonts w:ascii="方正小标宋简体"/>
                <w:sz w:val="17"/>
              </w:rPr>
            </w:pPr>
          </w:p>
          <w:p>
            <w:pPr>
              <w:pStyle w:val="11"/>
              <w:spacing w:before="53" w:line="280" w:lineRule="auto"/>
              <w:ind w:left="107" w:leftChars="0" w:right="107" w:rightChars="0"/>
              <w:jc w:val="right"/>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rPr>
                <w:rFonts w:ascii="方正小标宋简体"/>
                <w:sz w:val="21"/>
              </w:rPr>
            </w:pPr>
          </w:p>
          <w:p>
            <w:pPr>
              <w:pStyle w:val="11"/>
              <w:numPr>
                <w:ilvl w:val="0"/>
                <w:numId w:val="5"/>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5"/>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rPr>
                <w:rFonts w:ascii="方正小标宋简体"/>
                <w:sz w:val="34"/>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67" w:hRule="atLeast"/>
        </w:trPr>
        <w:tc>
          <w:tcPr>
            <w:tcW w:w="772" w:type="dxa"/>
            <w:vAlign w:val="center"/>
          </w:tcPr>
          <w:p>
            <w:pPr>
              <w:pStyle w:val="11"/>
              <w:ind w:left="245" w:right="231"/>
              <w:jc w:val="center"/>
              <w:rPr>
                <w:rFonts w:hint="eastAsia" w:eastAsia="宋体"/>
                <w:sz w:val="24"/>
                <w:lang w:val="en-US" w:eastAsia="zh-CN"/>
              </w:rPr>
            </w:pPr>
            <w:r>
              <w:rPr>
                <w:rFonts w:hint="eastAsia"/>
                <w:sz w:val="24"/>
                <w:lang w:val="en-US" w:eastAsia="zh-CN"/>
              </w:rPr>
              <w:t>6</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运输液体、散装货物不作密封、包扎、覆盖造成泄露、遗撒的处罚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《洛阳市城市市容和环境卫生管理条例》（河南省第十一届人民代表大会常务委员会第23次会议于2011年9月28日审议批准）第三十七条第一款：“ 运载垃圾、渣土、砂石等散流体物品的车辆应当加装全密闭装置，密闭装置破损的应当及时维修更换，不得泄漏、遗撒。”第四十条第九项：“违反第三十七条第一款规定，运载散流体物品的车辆未加装全密闭装置或者密闭装置破损的，每辆（次）处以一千元以上三千元以下罚款；造成遗撒、污染路面的，应当及时清理或者承担清理费用，并可处以每平方米五十元罚款，但一次最高不得超过一万元。</w:t>
            </w:r>
            <w:r>
              <w:rPr>
                <w:rFonts w:hint="eastAsia"/>
                <w:sz w:val="24"/>
              </w:rPr>
              <w:t>”</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bl>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7</w:t>
            </w:r>
          </w:p>
        </w:tc>
        <w:tc>
          <w:tcPr>
            <w:tcW w:w="707" w:type="dxa"/>
            <w:vMerge w:val="restart"/>
            <w:vAlign w:val="center"/>
          </w:tcPr>
          <w:p>
            <w:pPr>
              <w:pStyle w:val="11"/>
              <w:spacing w:line="280" w:lineRule="auto"/>
              <w:ind w:left="112" w:right="97"/>
              <w:jc w:val="center"/>
              <w:rPr>
                <w:rFonts w:hint="eastAsia" w:eastAsia="宋体"/>
                <w:sz w:val="24"/>
                <w:lang w:val="en-US" w:eastAsia="zh-CN"/>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1"/>
                <w:szCs w:val="21"/>
              </w:rPr>
              <w:t>临街工地不设置护栏或者不作遮挡，停工场地不及时整理或者竣工后不及时清理和平整场地的处罚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4"/>
              </w:rPr>
              <w:t>《河南省城市市容和环境卫生管理条例》实施办法（省政府令第29号）第三十条第七项：“临街工地不设置护栏或者不作遮挡，停工场地不及时整理并作必要覆盖或者竣工后不及时清理和平整场地，影响市容和环境卫生的，处以200元以上、1000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3"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8</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在城市道路或人行道上从事各类作业后，不清除杂物、渣土、污水淤泥的处罚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《洛阳市城市市容和环境卫生管理条例》（河南省第十一届人民代表大会常务委员会第23次会议于2011年9月28日审议批准，自2012年1月1日起施行）第二十三条：“ 城市道路应当保持清洁平坦。开挖道路施工作业，应当设立明显标志，公布施工期限，并采取安全措施。作业结束后，应当及时清理现场，恢复路面。”第四十条第（三）项：“违反第十八条、第二十三条、第三十四条规定的，每处处以二百元以上一千元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9</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不按规定及时清运、处理粪便的处罚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第例》（河南省第十一届人民代表大会常务委员会第23次会议于2011年9月28日审议批准）第三十七条第二款：“进入城区的畜力车，应当配带粪兜和清扫工具，对遗撒的粪便和草料，车主应当及时清除干净。”第四十条：“（一）违反第十六条，第三十七条第二款，第三十八条第（一）、（二）、（三）项规定的，每次处以十元以上五十元以下罚款；违反第三十八条第（四）项规定的，每车次处以一百元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bl>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10</w:t>
            </w:r>
          </w:p>
        </w:tc>
        <w:tc>
          <w:tcPr>
            <w:tcW w:w="707" w:type="dxa"/>
            <w:vMerge w:val="restart"/>
            <w:vAlign w:val="center"/>
          </w:tcPr>
          <w:p>
            <w:pPr>
              <w:pStyle w:val="11"/>
              <w:spacing w:line="280" w:lineRule="auto"/>
              <w:ind w:left="112" w:right="97"/>
              <w:jc w:val="center"/>
              <w:rPr>
                <w:sz w:val="24"/>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在公共场所或街道焚烧落叶、杂物等垃圾的处罚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第例》（河南省第十一届人民代表大会常务委员会第23次会议于2011年9月28日审议批准）第三十八条第（三）项：“焚烧落叶、枯草、废旧物品；”第四十条第一项：“违反第十六条，第三十七条第二款，第三十八条第（一）、（二）、（三）项规定的，每次处以十元以上五十元以下罚款；违反第三十八条第（四）项规定的，每车次处以一百元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3"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11</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畜力车在市区行驶中遗撒的粪便未及时清除的处罚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第例》（河南省第十一届人民代表大会常务委员会第23次会议于2011年9月28日审议批准）第三十七条第二款：“进入城区的畜力车，应当配带粪兜和清扫工具，对遗撒的粪便和草料，车主应当及时清除干净。” 第四十条第（一）项违反第十六条，第三十七条第二款，第三十八条第（一）、（二）、（三）项规定的，每次处以十元以上五十元以下罚款；违反第三十八条第（四）项规定的，每车次处以一百元罚款。”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12</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摊点的经营者随地丢弃垃圾的处罚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center"/>
          </w:tcPr>
          <w:p>
            <w:pPr>
              <w:pStyle w:val="11"/>
              <w:spacing w:before="1" w:line="280" w:lineRule="auto"/>
              <w:ind w:left="107" w:leftChars="0" w:right="91" w:rightChars="0"/>
              <w:jc w:val="center"/>
              <w:rPr>
                <w:rFonts w:ascii="宋体" w:hAnsi="宋体" w:eastAsia="宋体" w:cs="宋体"/>
                <w:sz w:val="24"/>
                <w:szCs w:val="22"/>
                <w:lang w:val="zh-CN" w:eastAsia="zh-CN" w:bidi="zh-CN"/>
              </w:rPr>
            </w:pPr>
            <w:r>
              <w:rPr>
                <w:rFonts w:hint="eastAsia"/>
                <w:sz w:val="24"/>
              </w:rPr>
              <w:t>《河南省城市市容和环境卫生管理条例》实施办法（省政府令第29号）第三十条第十二项：“摊点的经营者随地丢弃垃圾的，处以20元以下罚款。”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leftChars="0" w:right="107" w:rightChars="0"/>
              <w:jc w:val="center"/>
              <w:rPr>
                <w:rFonts w:ascii="宋体" w:hAnsi="宋体" w:eastAsia="宋体" w:cs="宋体"/>
                <w:sz w:val="24"/>
                <w:szCs w:val="22"/>
                <w:lang w:val="zh-CN" w:eastAsia="zh-CN" w:bidi="zh-CN"/>
              </w:rPr>
            </w:pPr>
            <w:r>
              <w:rPr>
                <w:rFonts w:hint="eastAsia"/>
                <w:spacing w:val="-9"/>
                <w:sz w:val="24"/>
                <w:lang w:val="en-US" w:eastAsia="zh-CN"/>
              </w:rPr>
              <w:t>宜阳县城市管理局</w:t>
            </w:r>
          </w:p>
        </w:tc>
        <w:tc>
          <w:tcPr>
            <w:tcW w:w="4463" w:type="dxa"/>
            <w:vAlign w:val="top"/>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leftChars="0" w:right="0" w:rightChars="0"/>
              <w:rPr>
                <w:rFonts w:ascii="Times New Roman" w:hAnsi="Times New Roman" w:eastAsia="Times New Roman" w:cs="宋体"/>
                <w:sz w:val="24"/>
                <w:szCs w:val="22"/>
                <w:lang w:val="zh-CN" w:eastAsia="zh-CN" w:bidi="zh-CN"/>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ind w:left="0" w:leftChars="0" w:right="0" w:rightChars="0"/>
              <w:rPr>
                <w:rFonts w:ascii="Times New Roman" w:hAnsi="宋体" w:eastAsia="宋体" w:cs="宋体"/>
                <w:sz w:val="24"/>
                <w:szCs w:val="22"/>
                <w:lang w:val="zh-CN" w:eastAsia="zh-CN" w:bidi="zh-CN"/>
              </w:rPr>
            </w:pP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c>
          <w:tcPr>
            <w:tcW w:w="775" w:type="dxa"/>
            <w:vAlign w:val="top"/>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leftChars="0" w:right="0" w:rightChars="0"/>
              <w:jc w:val="center"/>
              <w:rPr>
                <w:rFonts w:ascii="宋体" w:hAnsi="宋体" w:eastAsia="宋体" w:cs="宋体"/>
                <w:sz w:val="24"/>
                <w:szCs w:val="22"/>
                <w:lang w:val="zh-CN" w:eastAsia="zh-CN" w:bidi="zh-CN"/>
              </w:rPr>
            </w:pPr>
            <w:r>
              <w:rPr>
                <w:sz w:val="24"/>
              </w:rPr>
              <w:t>√</w:t>
            </w:r>
          </w:p>
        </w:tc>
      </w:tr>
    </w:tbl>
    <w:p/>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13</w:t>
            </w:r>
          </w:p>
        </w:tc>
        <w:tc>
          <w:tcPr>
            <w:tcW w:w="707" w:type="dxa"/>
            <w:vMerge w:val="restart"/>
            <w:vAlign w:val="center"/>
          </w:tcPr>
          <w:p>
            <w:pPr>
              <w:pStyle w:val="11"/>
              <w:spacing w:line="280" w:lineRule="auto"/>
              <w:ind w:left="112" w:right="97"/>
              <w:jc w:val="center"/>
              <w:rPr>
                <w:sz w:val="24"/>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both"/>
              <w:rPr>
                <w:rFonts w:ascii="宋体" w:hAnsi="宋体" w:eastAsia="宋体" w:cs="宋体"/>
                <w:sz w:val="24"/>
                <w:szCs w:val="22"/>
                <w:lang w:val="zh-CN" w:eastAsia="zh-CN" w:bidi="zh-CN"/>
              </w:rPr>
            </w:pPr>
            <w:r>
              <w:rPr>
                <w:rFonts w:hint="eastAsia"/>
                <w:sz w:val="24"/>
              </w:rPr>
              <w:t>将有害固体废弃物混入城市生活垃圾的处罚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《洛阳市城市市容和环境卫生管理条例》（河南省第十一届人民代表大会常务委员会第23次会议于2011年9月28日审议）第三十六条：“ 医院、疗养院、生物制品厂、屠宰场等产生的有毒、有害废弃物，应当按照有关规定进行无害化处理，严禁混入城市生活垃圾随处遗弃、倾倒或者倒入生活垃圾容器。” 第四十条（八）项：“违反第三十六条规定的，将有毒、有害固体废弃物混入城市生活垃圾的，每次处以一千元以上二千元以下罚款。”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14</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不按规定的地点、方式冲洗车辆，造成污水漫流、遗弃垃圾的处罚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《洛阳市城市市容和环境卫生管理条例》（河南省第十一届人民代表大会常务委员会第23次会议于2011年9月28日审议批准）第三十八条第（四）项：“占用道路、广场从事经营性车辆清洗活动。 ” 第四十条第一项：“违反第十六条，第三十七条第二款，第三十八条第（一）、（二）、（三）项规定的，每次处以十元以上五十元以下罚款；违反第三十八条第（四）项规定的，每车次处以一百元罚款。”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3"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15</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未经批准擅自饲养家禽家畜影响市容和环境卫生的处罚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城市市容和环境卫生管理条例》实施办法（省政府令第29号）第三十一条：“未经批准擅自饲养家禽家畜影响市容和环境卫生的，由城市人民政府市容环境卫生行政主管部门责令限期处理或者予以没收；拒不处理的，可处以禽类每只5元以上、10元以下罚款；处以畜类每头50元以上、100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16</w:t>
            </w:r>
          </w:p>
        </w:tc>
        <w:tc>
          <w:tcPr>
            <w:tcW w:w="707" w:type="dxa"/>
            <w:vMerge w:val="restart"/>
            <w:vAlign w:val="center"/>
          </w:tcPr>
          <w:p>
            <w:pPr>
              <w:pStyle w:val="11"/>
              <w:spacing w:line="280" w:lineRule="auto"/>
              <w:ind w:left="112" w:right="97"/>
              <w:jc w:val="both"/>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both"/>
              <w:rPr>
                <w:rFonts w:ascii="宋体" w:hAnsi="宋体" w:eastAsia="宋体" w:cs="宋体"/>
                <w:sz w:val="24"/>
                <w:szCs w:val="22"/>
                <w:lang w:val="zh-CN" w:eastAsia="zh-CN" w:bidi="zh-CN"/>
              </w:rPr>
            </w:pPr>
            <w:r>
              <w:rPr>
                <w:rFonts w:hint="eastAsia"/>
                <w:sz w:val="24"/>
              </w:rPr>
              <w:t>擅自设置户外广告影响市容的处罚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18"/>
                <w:szCs w:val="18"/>
                <w:lang w:val="zh-CN" w:eastAsia="zh-CN" w:bidi="zh-CN"/>
              </w:rPr>
            </w:pPr>
            <w:r>
              <w:rPr>
                <w:rFonts w:hint="eastAsia"/>
                <w:sz w:val="18"/>
                <w:szCs w:val="18"/>
              </w:rPr>
              <w:t>《洛阳市城市市容和环境卫生管理条例》（河南省第十一届人民代表大会常务委员会第23次会议于2011年9月28日审议批准）第四十条第二项：“违反第十七条第一款、第二十一条第二款规定的，处以一千元以上五千元以下罚款。” 第四十条第四项“违反第十九条第一款、第二十一条第一款、第三十五条规定的，每处处以一百元以上五百元以下罚款；违反第二十八条第一款规定，不能保证公共厕所正常使用的，处以一百元以下五百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17</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szCs w:val="24"/>
              </w:rPr>
              <w:t>擅自在街道两侧和其他公共场所临时堆放物料、摆摊设点影响市容的处罚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 第四十条第二项：“违反第十七条第一款、第二十一条第二款规定的，处以一千元以上五千元以下罚款。” 第二十条第三款：“城市道路两侧不准进行有碍市容和环境卫生的生产加工、摆摊设点、店外销售等活动。” 第四十条第（五）项：“违反第二十条第三款、第三十条第三款规定的，处以五十元以上二百元以下罚款。”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3"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18</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未经批准擅自拆除环境卫生设施或者未按批准的拆迁方案进项拆迁的处罚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4"/>
              </w:rPr>
              <w:t>《河南省城市市容和环境卫生管理条例》实施办法（省政府令第29号）第三十二条第三项：“未经批准擅自拆除环境卫生设施或者未按批准的拆迁方案进项拆迁的，处以原设施造价的3倍以上的罚款。但是，实际执罚的金额不得超过1万元。”</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pStyle w:val="11"/>
              <w:spacing w:before="52" w:line="280" w:lineRule="auto"/>
              <w:ind w:left="107" w:right="107"/>
              <w:jc w:val="center"/>
              <w:rPr>
                <w:sz w:val="24"/>
              </w:rPr>
            </w:pPr>
            <w:r>
              <w:rPr>
                <w:rFonts w:hint="eastAsia"/>
                <w:spacing w:val="-9"/>
                <w:sz w:val="24"/>
                <w:lang w:val="en-US" w:eastAsia="zh-CN"/>
              </w:rPr>
              <w:t>宜阳县城市管理局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19</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不符合城市容貌标准、环境卫生标准的建筑物或者设施的处罚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四十二条：“凡不符合城市容貌标准、环境卫生标准的建（构）筑物和其他设施，由市、县（市、区）市容环境卫生行政主管部门会同规划行政主管部门，责令限期改造或拆除； 逾期未改造、拆除的，经本级人民政府批准，由市容环境卫生行政主管部门组织强制拆除，拆除费用由被拆单位或者个人承担，可以并处五千元以上一万元以下罚款。”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20</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损坏环境卫生设施及其附属设施的处罚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18"/>
                <w:szCs w:val="18"/>
                <w:lang w:val="zh-CN" w:eastAsia="zh-CN" w:bidi="zh-CN"/>
              </w:rPr>
            </w:pPr>
            <w:r>
              <w:rPr>
                <w:rFonts w:hint="eastAsia"/>
                <w:sz w:val="18"/>
                <w:szCs w:val="18"/>
              </w:rPr>
              <w:t>《洛阳市城市市容和环境卫生管理条例》（河南省第十一届人民代表大会常务委员会第23次会议于2011年9月28日审议批准） 第四十一条第二款：“违反本条例第二十九条规定，损坏、擅自拆除或者未按照批准的拆迁方案拆迁环境卫生及其附属设施的，责令限期恢复原状或者采取其他补救措施的，可以并处二千元以上二万元以下罚款；造成损失的，违法行为人应当承担赔偿责任。”</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tcPr>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sz w:val="24"/>
              </w:rPr>
            </w:pPr>
          </w:p>
          <w:p>
            <w:pPr>
              <w:pStyle w:val="11"/>
              <w:ind w:left="14"/>
              <w:jc w:val="center"/>
              <w:rPr>
                <w:rFonts w:hint="default" w:eastAsia="宋体"/>
                <w:sz w:val="24"/>
                <w:lang w:val="en-US" w:eastAsia="zh-CN"/>
              </w:rPr>
            </w:pPr>
            <w:r>
              <w:rPr>
                <w:rFonts w:hint="eastAsia"/>
                <w:sz w:val="24"/>
                <w:lang w:val="en-US" w:eastAsia="zh-CN"/>
              </w:rPr>
              <w:t>21</w:t>
            </w:r>
          </w:p>
        </w:tc>
        <w:tc>
          <w:tcPr>
            <w:tcW w:w="707" w:type="dxa"/>
            <w:vMerge w:val="continue"/>
            <w:tcBorders>
              <w:top w:val="nil"/>
            </w:tcBorders>
          </w:tcPr>
          <w:p>
            <w:pP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街道公共设施污损的处罚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0"/>
                <w:sz w:val="21"/>
                <w:szCs w:val="21"/>
                <w:lang w:val="en-US" w:eastAsia="zh-CN"/>
              </w:rPr>
              <w:t>1.职权编号</w:t>
            </w:r>
            <w:r>
              <w:rPr>
                <w:spacing w:val="-10"/>
                <w:sz w:val="21"/>
                <w:szCs w:val="21"/>
              </w:rPr>
              <w:t>、</w:t>
            </w:r>
            <w:r>
              <w:rPr>
                <w:rFonts w:hint="eastAsia"/>
                <w:spacing w:val="-10"/>
                <w:sz w:val="21"/>
                <w:szCs w:val="21"/>
                <w:lang w:eastAsia="zh-CN"/>
              </w:rPr>
              <w:t>清单事项种类</w:t>
            </w:r>
            <w:r>
              <w:rPr>
                <w:spacing w:val="-10"/>
                <w:sz w:val="21"/>
                <w:szCs w:val="21"/>
              </w:rPr>
              <w:t>、</w:t>
            </w:r>
            <w:r>
              <w:rPr>
                <w:rFonts w:hint="eastAsia"/>
                <w:spacing w:val="-10"/>
                <w:sz w:val="21"/>
                <w:szCs w:val="21"/>
                <w:lang w:eastAsia="zh-CN"/>
              </w:rPr>
              <w:t>职权名称、行政处罚种类</w:t>
            </w:r>
            <w:r>
              <w:rPr>
                <w:rFonts w:hint="eastAsia"/>
                <w:spacing w:val="-10"/>
                <w:sz w:val="21"/>
                <w:szCs w:val="21"/>
                <w:lang w:val="en-US" w:eastAsia="zh-CN"/>
              </w:rPr>
              <w:t>、</w:t>
            </w:r>
            <w:r>
              <w:rPr>
                <w:rFonts w:hint="eastAsia"/>
                <w:spacing w:val="-10"/>
                <w:sz w:val="21"/>
                <w:szCs w:val="21"/>
                <w:lang w:eastAsia="zh-CN"/>
              </w:rPr>
              <w:t>实施主体</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2.</w:t>
            </w:r>
            <w:r>
              <w:rPr>
                <w:rFonts w:hint="eastAsia"/>
                <w:sz w:val="21"/>
                <w:szCs w:val="21"/>
                <w:lang w:eastAsia="zh-CN"/>
              </w:rPr>
              <w:t>设立</w:t>
            </w:r>
            <w:r>
              <w:rPr>
                <w:sz w:val="21"/>
                <w:szCs w:val="21"/>
              </w:rPr>
              <w:t>依据</w:t>
            </w:r>
            <w:r>
              <w:rPr>
                <w:rFonts w:hint="eastAsia"/>
                <w:sz w:val="21"/>
                <w:szCs w:val="21"/>
                <w:lang w:eastAsia="zh-CN"/>
              </w:rPr>
              <w:t>、收费依据及标准</w:t>
            </w:r>
            <w:r>
              <w:rPr>
                <w:sz w:val="21"/>
                <w:szCs w:val="21"/>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1"/>
                <w:sz w:val="21"/>
                <w:szCs w:val="21"/>
                <w:lang w:val="en-US" w:eastAsia="zh-CN"/>
              </w:rPr>
              <w:t>3.</w:t>
            </w:r>
            <w:r>
              <w:rPr>
                <w:rFonts w:hint="eastAsia"/>
                <w:spacing w:val="11"/>
                <w:sz w:val="21"/>
                <w:szCs w:val="21"/>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4.</w:t>
            </w:r>
            <w:r>
              <w:rPr>
                <w:rFonts w:hint="eastAsia"/>
                <w:sz w:val="21"/>
                <w:szCs w:val="21"/>
                <w:lang w:eastAsia="zh-CN"/>
              </w:rPr>
              <w:t>办理期限</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5.</w:t>
            </w:r>
            <w:r>
              <w:rPr>
                <w:rFonts w:hint="eastAsia"/>
                <w:sz w:val="21"/>
                <w:szCs w:val="21"/>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6.</w:t>
            </w:r>
            <w:r>
              <w:rPr>
                <w:rFonts w:hint="eastAsia"/>
                <w:sz w:val="21"/>
                <w:szCs w:val="21"/>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7.监督投诉机构及联系电话</w:t>
            </w:r>
            <w:r>
              <w:rPr>
                <w:sz w:val="21"/>
                <w:szCs w:val="21"/>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1"/>
                <w:szCs w:val="21"/>
                <w:lang w:val="zh-CN" w:eastAsia="zh-CN" w:bidi="zh-CN"/>
              </w:rPr>
            </w:pPr>
            <w:r>
              <w:rPr>
                <w:rFonts w:hint="eastAsia"/>
                <w:sz w:val="21"/>
                <w:szCs w:val="21"/>
                <w:lang w:val="en-US" w:eastAsia="zh-CN"/>
              </w:rPr>
              <w:t>8.</w:t>
            </w:r>
            <w:r>
              <w:rPr>
                <w:sz w:val="21"/>
                <w:szCs w:val="21"/>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 第四十条第四项：“违反第十九条第一款、第二十一条第一款、第三十五条规定睥，每处处以一百元以上五百元以下罚款；违反第三十五条规定的，每处处以一百元以上五百元以下罚款；违反第二十八条第一款规定的，不能保证公共厕所正常使用的，处以一百元以上五百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22</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both"/>
              <w:rPr>
                <w:rFonts w:ascii="宋体" w:hAnsi="宋体" w:eastAsia="宋体" w:cs="宋体"/>
                <w:sz w:val="24"/>
                <w:szCs w:val="22"/>
                <w:lang w:val="zh-CN" w:eastAsia="zh-CN" w:bidi="zh-CN"/>
              </w:rPr>
            </w:pPr>
            <w:r>
              <w:rPr>
                <w:rFonts w:hint="eastAsia"/>
                <w:sz w:val="24"/>
              </w:rPr>
              <w:t>未按要求设置环境卫生专项规划及设置标准配套建设环境卫生设施的处罚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0"/>
                <w:sz w:val="21"/>
                <w:szCs w:val="21"/>
                <w:lang w:val="en-US" w:eastAsia="zh-CN"/>
              </w:rPr>
              <w:t>1.职权编号</w:t>
            </w:r>
            <w:r>
              <w:rPr>
                <w:spacing w:val="-10"/>
                <w:sz w:val="21"/>
                <w:szCs w:val="21"/>
              </w:rPr>
              <w:t>、</w:t>
            </w:r>
            <w:r>
              <w:rPr>
                <w:rFonts w:hint="eastAsia"/>
                <w:spacing w:val="-10"/>
                <w:sz w:val="21"/>
                <w:szCs w:val="21"/>
                <w:lang w:eastAsia="zh-CN"/>
              </w:rPr>
              <w:t>清单事项种类</w:t>
            </w:r>
            <w:r>
              <w:rPr>
                <w:spacing w:val="-10"/>
                <w:sz w:val="21"/>
                <w:szCs w:val="21"/>
              </w:rPr>
              <w:t>、</w:t>
            </w:r>
            <w:r>
              <w:rPr>
                <w:rFonts w:hint="eastAsia"/>
                <w:spacing w:val="-10"/>
                <w:sz w:val="21"/>
                <w:szCs w:val="21"/>
                <w:lang w:eastAsia="zh-CN"/>
              </w:rPr>
              <w:t>职权名称、行政处罚种类</w:t>
            </w:r>
            <w:r>
              <w:rPr>
                <w:rFonts w:hint="eastAsia"/>
                <w:spacing w:val="-10"/>
                <w:sz w:val="21"/>
                <w:szCs w:val="21"/>
                <w:lang w:val="en-US" w:eastAsia="zh-CN"/>
              </w:rPr>
              <w:t>、</w:t>
            </w:r>
            <w:r>
              <w:rPr>
                <w:rFonts w:hint="eastAsia"/>
                <w:spacing w:val="-10"/>
                <w:sz w:val="21"/>
                <w:szCs w:val="21"/>
                <w:lang w:eastAsia="zh-CN"/>
              </w:rPr>
              <w:t>实施主体</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2.</w:t>
            </w:r>
            <w:r>
              <w:rPr>
                <w:rFonts w:hint="eastAsia"/>
                <w:sz w:val="21"/>
                <w:szCs w:val="21"/>
                <w:lang w:eastAsia="zh-CN"/>
              </w:rPr>
              <w:t>设立</w:t>
            </w:r>
            <w:r>
              <w:rPr>
                <w:sz w:val="21"/>
                <w:szCs w:val="21"/>
              </w:rPr>
              <w:t>依据</w:t>
            </w:r>
            <w:r>
              <w:rPr>
                <w:rFonts w:hint="eastAsia"/>
                <w:sz w:val="21"/>
                <w:szCs w:val="21"/>
                <w:lang w:eastAsia="zh-CN"/>
              </w:rPr>
              <w:t>、收费依据及标准</w:t>
            </w:r>
            <w:r>
              <w:rPr>
                <w:sz w:val="21"/>
                <w:szCs w:val="21"/>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1"/>
                <w:sz w:val="21"/>
                <w:szCs w:val="21"/>
                <w:lang w:val="en-US" w:eastAsia="zh-CN"/>
              </w:rPr>
              <w:t>3.</w:t>
            </w:r>
            <w:r>
              <w:rPr>
                <w:rFonts w:hint="eastAsia"/>
                <w:spacing w:val="11"/>
                <w:sz w:val="21"/>
                <w:szCs w:val="21"/>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4.</w:t>
            </w:r>
            <w:r>
              <w:rPr>
                <w:rFonts w:hint="eastAsia"/>
                <w:sz w:val="21"/>
                <w:szCs w:val="21"/>
                <w:lang w:eastAsia="zh-CN"/>
              </w:rPr>
              <w:t>办理期限</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5.</w:t>
            </w:r>
            <w:r>
              <w:rPr>
                <w:rFonts w:hint="eastAsia"/>
                <w:sz w:val="21"/>
                <w:szCs w:val="21"/>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6.</w:t>
            </w:r>
            <w:r>
              <w:rPr>
                <w:rFonts w:hint="eastAsia"/>
                <w:sz w:val="21"/>
                <w:szCs w:val="21"/>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7.监督投诉机构及联系电话</w:t>
            </w:r>
            <w:r>
              <w:rPr>
                <w:sz w:val="21"/>
                <w:szCs w:val="21"/>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1"/>
                <w:szCs w:val="21"/>
                <w:lang w:val="zh-CN" w:eastAsia="zh-CN" w:bidi="zh-CN"/>
              </w:rPr>
            </w:pPr>
            <w:r>
              <w:rPr>
                <w:rFonts w:hint="eastAsia"/>
                <w:sz w:val="21"/>
                <w:szCs w:val="21"/>
                <w:lang w:val="en-US" w:eastAsia="zh-CN"/>
              </w:rPr>
              <w:t>8.</w:t>
            </w:r>
            <w:r>
              <w:rPr>
                <w:sz w:val="21"/>
                <w:szCs w:val="21"/>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四十一条：“违反本条例第二十七条规定，未按照建设规划及设计方案配套建设环境卫生设施的，由市、县（市、区）人民政府市容环境卫生行政主管部门或者其委托的单位责令限期改正，可以并处该设施造价一倍以下的罚款。</w:t>
            </w:r>
            <w:r>
              <w:rPr>
                <w:rFonts w:hint="eastAsia"/>
                <w:sz w:val="24"/>
              </w:rPr>
              <w:t>”</w:t>
            </w:r>
          </w:p>
        </w:tc>
        <w:tc>
          <w:tcPr>
            <w:tcW w:w="1613" w:type="dxa"/>
            <w:vAlign w:val="top"/>
          </w:tcPr>
          <w:p>
            <w:pPr>
              <w:pStyle w:val="11"/>
              <w:rPr>
                <w:rFonts w:ascii="方正小标宋简体"/>
                <w:sz w:val="24"/>
              </w:rPr>
            </w:pPr>
          </w:p>
          <w:p>
            <w:pPr>
              <w:pStyle w:val="11"/>
              <w:spacing w:before="1" w:line="280" w:lineRule="auto"/>
              <w:ind w:right="91"/>
              <w:jc w:val="both"/>
              <w:rPr>
                <w:sz w:val="24"/>
              </w:rPr>
            </w:pPr>
            <w:r>
              <w:rPr>
                <w:sz w:val="24"/>
              </w:rPr>
              <w:t>1.</w:t>
            </w:r>
            <w:r>
              <w:rPr>
                <w:spacing w:val="11"/>
                <w:sz w:val="24"/>
              </w:rPr>
              <w:t>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23</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公共厕所未能正常使用的处罚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0"/>
                <w:sz w:val="21"/>
                <w:szCs w:val="21"/>
                <w:lang w:val="en-US" w:eastAsia="zh-CN"/>
              </w:rPr>
              <w:t>1.职权编号</w:t>
            </w:r>
            <w:r>
              <w:rPr>
                <w:spacing w:val="-10"/>
                <w:sz w:val="21"/>
                <w:szCs w:val="21"/>
              </w:rPr>
              <w:t>、</w:t>
            </w:r>
            <w:r>
              <w:rPr>
                <w:rFonts w:hint="eastAsia"/>
                <w:spacing w:val="-10"/>
                <w:sz w:val="21"/>
                <w:szCs w:val="21"/>
                <w:lang w:eastAsia="zh-CN"/>
              </w:rPr>
              <w:t>清单事项种类</w:t>
            </w:r>
            <w:r>
              <w:rPr>
                <w:spacing w:val="-10"/>
                <w:sz w:val="21"/>
                <w:szCs w:val="21"/>
              </w:rPr>
              <w:t>、</w:t>
            </w:r>
            <w:r>
              <w:rPr>
                <w:rFonts w:hint="eastAsia"/>
                <w:spacing w:val="-10"/>
                <w:sz w:val="21"/>
                <w:szCs w:val="21"/>
                <w:lang w:eastAsia="zh-CN"/>
              </w:rPr>
              <w:t>职权名称、行政处罚种类</w:t>
            </w:r>
            <w:r>
              <w:rPr>
                <w:rFonts w:hint="eastAsia"/>
                <w:spacing w:val="-10"/>
                <w:sz w:val="21"/>
                <w:szCs w:val="21"/>
                <w:lang w:val="en-US" w:eastAsia="zh-CN"/>
              </w:rPr>
              <w:t>、</w:t>
            </w:r>
            <w:r>
              <w:rPr>
                <w:rFonts w:hint="eastAsia"/>
                <w:spacing w:val="-10"/>
                <w:sz w:val="21"/>
                <w:szCs w:val="21"/>
                <w:lang w:eastAsia="zh-CN"/>
              </w:rPr>
              <w:t>实施主体</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2.</w:t>
            </w:r>
            <w:r>
              <w:rPr>
                <w:rFonts w:hint="eastAsia"/>
                <w:sz w:val="21"/>
                <w:szCs w:val="21"/>
                <w:lang w:eastAsia="zh-CN"/>
              </w:rPr>
              <w:t>设立</w:t>
            </w:r>
            <w:r>
              <w:rPr>
                <w:sz w:val="21"/>
                <w:szCs w:val="21"/>
              </w:rPr>
              <w:t>依据</w:t>
            </w:r>
            <w:r>
              <w:rPr>
                <w:rFonts w:hint="eastAsia"/>
                <w:sz w:val="21"/>
                <w:szCs w:val="21"/>
                <w:lang w:eastAsia="zh-CN"/>
              </w:rPr>
              <w:t>、收费依据及标准</w:t>
            </w:r>
            <w:r>
              <w:rPr>
                <w:sz w:val="21"/>
                <w:szCs w:val="21"/>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pacing w:val="11"/>
                <w:sz w:val="21"/>
                <w:szCs w:val="21"/>
                <w:lang w:val="en-US" w:eastAsia="zh-CN"/>
              </w:rPr>
              <w:t>3.</w:t>
            </w:r>
            <w:r>
              <w:rPr>
                <w:rFonts w:hint="eastAsia"/>
                <w:spacing w:val="11"/>
                <w:sz w:val="21"/>
                <w:szCs w:val="21"/>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4.</w:t>
            </w:r>
            <w:r>
              <w:rPr>
                <w:rFonts w:hint="eastAsia"/>
                <w:sz w:val="21"/>
                <w:szCs w:val="21"/>
                <w:lang w:eastAsia="zh-CN"/>
              </w:rPr>
              <w:t>办理期限</w:t>
            </w:r>
            <w:r>
              <w:rPr>
                <w:sz w:val="21"/>
                <w:szCs w:val="21"/>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5.</w:t>
            </w:r>
            <w:r>
              <w:rPr>
                <w:rFonts w:hint="eastAsia"/>
                <w:sz w:val="21"/>
                <w:szCs w:val="21"/>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6.</w:t>
            </w:r>
            <w:r>
              <w:rPr>
                <w:rFonts w:hint="eastAsia"/>
                <w:sz w:val="21"/>
                <w:szCs w:val="21"/>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1"/>
                <w:szCs w:val="21"/>
              </w:rPr>
            </w:pPr>
            <w:r>
              <w:rPr>
                <w:rFonts w:hint="eastAsia"/>
                <w:sz w:val="21"/>
                <w:szCs w:val="21"/>
                <w:lang w:val="en-US" w:eastAsia="zh-CN"/>
              </w:rPr>
              <w:t>7.监督投诉机构及联系电话</w:t>
            </w:r>
            <w:r>
              <w:rPr>
                <w:sz w:val="21"/>
                <w:szCs w:val="21"/>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1"/>
                <w:szCs w:val="21"/>
                <w:lang w:val="zh-CN" w:eastAsia="zh-CN" w:bidi="zh-CN"/>
              </w:rPr>
            </w:pPr>
            <w:r>
              <w:rPr>
                <w:rFonts w:hint="eastAsia"/>
                <w:sz w:val="21"/>
                <w:szCs w:val="21"/>
                <w:lang w:val="en-US" w:eastAsia="zh-CN"/>
              </w:rPr>
              <w:t>8.</w:t>
            </w:r>
            <w:r>
              <w:rPr>
                <w:sz w:val="21"/>
                <w:szCs w:val="21"/>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 第四十条第四项：“违反第十九条第一款、第二十一条第一款、第三十五条规定的，每处处以一百元以上五百元以下罚款；违反第二十八条第一款规定，不能保证公共厕所正常使用的，处以一百元以上五百元以下罚款。”</w:t>
            </w:r>
          </w:p>
        </w:tc>
        <w:tc>
          <w:tcPr>
            <w:tcW w:w="1613" w:type="dxa"/>
            <w:vAlign w:val="top"/>
          </w:tcPr>
          <w:p>
            <w:pPr>
              <w:pStyle w:val="11"/>
              <w:rPr>
                <w:rFonts w:ascii="方正小标宋简体"/>
                <w:sz w:val="24"/>
              </w:rPr>
            </w:pPr>
          </w:p>
          <w:p>
            <w:pPr>
              <w:pStyle w:val="11"/>
              <w:spacing w:line="280" w:lineRule="auto"/>
              <w:ind w:right="91"/>
              <w:jc w:val="both"/>
              <w:rPr>
                <w:sz w:val="24"/>
              </w:rPr>
            </w:pPr>
            <w:r>
              <w:rPr>
                <w:sz w:val="24"/>
              </w:rPr>
              <w:t>1.</w:t>
            </w:r>
            <w:r>
              <w:rPr>
                <w:spacing w:val="11"/>
                <w:sz w:val="24"/>
              </w:rPr>
              <w:t>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2"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24</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向花坛、绿化带、污水井、雨水井、河渠倾倒废弃物的处罚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第例》（河南省第十一届人民代表大会常务委员会第23次会议于2011年9月28日审议批准）第三十条第三款：“严禁向花坛（池）、绿化带、污水井、雨水井、河渠内扫入或者倾倒废弃物。” 第四十条第五项：“违反第二十条第三款、第三十条第三款规定的，处以五十元以上二百元以下罚款。</w:t>
            </w:r>
            <w:r>
              <w:rPr>
                <w:rFonts w:hint="eastAsia"/>
                <w:sz w:val="24"/>
              </w:rPr>
              <w:t>”</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25</w:t>
            </w:r>
          </w:p>
        </w:tc>
        <w:tc>
          <w:tcPr>
            <w:tcW w:w="707" w:type="dxa"/>
            <w:vMerge w:val="restart"/>
            <w:vAlign w:val="center"/>
          </w:tcPr>
          <w:p>
            <w:pPr>
              <w:pStyle w:val="11"/>
              <w:spacing w:line="280" w:lineRule="auto"/>
              <w:ind w:left="112" w:right="97"/>
              <w:jc w:val="center"/>
              <w:rPr>
                <w:rFonts w:hint="eastAsia" w:eastAsia="宋体"/>
                <w:sz w:val="24"/>
                <w:lang w:val="en-US" w:eastAsia="zh-CN"/>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施工工地出入口未进行地面硬化以及未设置护栏造成污水横流、路面污染的处罚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十八条：“施工现场应当设置护栏和围挡，材料、机具应当堆放整齐。施工场地出入口应当进行地面硬化并配备冲洗设备，严禁车辆带泥进入城市道路。施工期间应当采取措施，防止灰尘飞扬、污水流出场外。停工场地应当及时整理并作必要的遮盖。工程竣工后应当及时清理施工现场。” 第四十条第（三）项：“违反第十八条、第二十三条、第三十四条规定的，每处处以二百元以上一千元以下罚款。”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26</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建设工程产生的渣土、垃圾等废弃物，竣工验收前未及时清运完毕的处罚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18"/>
                <w:szCs w:val="18"/>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《洛阳市城市市容和环境卫生管理条例》（河南省第十一届人民代表大会常务委员会第23次会议于2011年9月28日审议批准）第三十四条：“ 建设工程产生的渣土、垃圾等废弃物，应当在竣工验收时清运完毕。” 第四十条第（三）项：“违反第十八条、第二十三条、第三十四条规定的，每处处以二百元以上一千元以下罚款。”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27</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市政、公用、电力、电信、河渠、绿化工程建设与养护产生的污泥、渣土、枝叶等废弃物，施工单位未及时清除的处罚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市容和环境卫生管理条例》（河南省第十一届人民代表大会常务委员会第23次会议于2011年9月28日审议批准）第四十条第四项：“违反第十九条第一款、第二十一条第一款、第三十五条规定的，每处处以一百元以上五百元以下罚款；违反第二十八条第一款规定，不能保证公共厕所正常使用的，处以一百元以上五百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28</w:t>
            </w:r>
          </w:p>
        </w:tc>
        <w:tc>
          <w:tcPr>
            <w:tcW w:w="707" w:type="dxa"/>
            <w:vMerge w:val="restart"/>
            <w:vAlign w:val="center"/>
          </w:tcPr>
          <w:p>
            <w:pPr>
              <w:pStyle w:val="11"/>
              <w:spacing w:line="280" w:lineRule="auto"/>
              <w:ind w:left="112" w:right="97"/>
              <w:jc w:val="center"/>
              <w:rPr>
                <w:sz w:val="24"/>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未经审批擅自占用城市绿地或占用绿地期满后未恢复原状以及未在绿地现场设置公示牌的处罚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18"/>
                <w:szCs w:val="18"/>
                <w:lang w:val="zh-CN" w:eastAsia="zh-CN" w:bidi="zh-CN"/>
              </w:rPr>
            </w:pPr>
            <w:r>
              <w:rPr>
                <w:rFonts w:hint="eastAsia"/>
                <w:sz w:val="18"/>
                <w:szCs w:val="18"/>
              </w:rPr>
              <w:t>《洛阳市城市绿化条例》（河南省第十二届人民代表在会常务委员会第九次会议审议批准）第四十条：“违反本条例第二十五条规定，有下列行为之一的，由市、县(市)、吉利区城市绿化行政主管部门按照下列规定予以处罚： (一)擅自占用城市绿地的，责令恢复绿地原状，并处每平方米一千元以上五千元以下罚款； (二)未按照规定在占用绿地现场设置公示牌的，责令限期改正；逾期不改正的，处以二千元以上一万元以下罚款；(三)临时占用绿地期满后，未按照规定期限恢复绿地的，从逾期之日起，处以每日每平方米五十元以上一百元以下罚款。”</w:t>
            </w:r>
          </w:p>
        </w:tc>
        <w:tc>
          <w:tcPr>
            <w:tcW w:w="1613" w:type="dxa"/>
            <w:vAlign w:val="center"/>
          </w:tcPr>
          <w:p>
            <w:pPr>
              <w:pStyle w:val="11"/>
              <w:spacing w:before="1" w:line="280" w:lineRule="auto"/>
              <w:ind w:left="107" w:right="91"/>
              <w:jc w:val="left"/>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jc w:val="left"/>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jc w:val="left"/>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29</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损害城市绿化及其设施的处罚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《河南省城市绿化实施办法》（省政府第41号令）第二十二条第四项：“违反本办法第十八条规定行为之一的，责令停止侵害，可以并处100元以上2000元以下罚款，造成损失的，应当负赔偿责任。”</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30</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擅自砍伐、移值和修剪城市规划区内的树木的处罚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4"/>
              </w:rPr>
              <w:t>《洛阳市城市绿化条例》（2014年7月30日河南省第十二届人民代表在会常务委员会第九次会议审议批准） 第四十一条第一项：“违反第二十六条规定，擅自砍伐、移植树木的，处以每株一千元以上一万元以下罚款。”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31</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对绿地率未达到规定指标的处罚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《洛阳市城市绿化条例》（2014年7月30日河南省第十二届人民代表在会常务委员会第九次会议审议批准）第三十五条：“ 新建居住区、单位违反本条例第十一条第一款第（四）、（五）项和第二款规定的，由市、县（市）、吉利区城市绿化行政主管部门责令限期改正，并处每平方米一万元以上五万元以下罚款。”</w:t>
            </w:r>
          </w:p>
        </w:tc>
        <w:tc>
          <w:tcPr>
            <w:tcW w:w="1613" w:type="dxa"/>
            <w:vAlign w:val="center"/>
          </w:tcPr>
          <w:p>
            <w:pPr>
              <w:pStyle w:val="11"/>
              <w:spacing w:before="1" w:line="280" w:lineRule="auto"/>
              <w:ind w:left="107" w:right="91"/>
              <w:jc w:val="left"/>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jc w:val="left"/>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jc w:val="left"/>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32</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建设工程项目附属绿化工程未按照规定时间完成的处罚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 第三十六条：“违反本条例第十五条规定，建设工程项目附属绿化工程未按照规定时间完成的，由市</w:t>
            </w:r>
            <w:r>
              <w:rPr>
                <w:rFonts w:hint="eastAsia"/>
                <w:sz w:val="21"/>
                <w:szCs w:val="21"/>
                <w:lang w:eastAsia="zh-CN"/>
              </w:rPr>
              <w:t>、</w:t>
            </w:r>
            <w:r>
              <w:rPr>
                <w:rFonts w:hint="eastAsia"/>
                <w:sz w:val="21"/>
                <w:szCs w:val="21"/>
              </w:rPr>
              <w:t>县（市）、吉利区城市绿化行政主管部门责令限期完成；逾期未完成的，处以未完成绿地建设预算费用一倍以上三倍以下罚款。”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33</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城市绿化工程设计、监理或者施工单位无资质或者超越资质承接业务的处罚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《洛阳市城市绿化条例》（2014年7月30日河南省第十二届人民代表在会常务委员会第九次会议审议批准） 第三十七条：“违反本条例第十六条规定，城市绿化工程设计、监理或者施工单位无资质或者超越资质承接业务的，由市、县（市）、吉利区城市绿化行政主管部门责令停止违法行为，对设计或者监理单位处以合同约定价款一倍以上二倍以下罚款；对施工单位处以工程合同价款百分之二以上百分之四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34</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建设单位未依法验收、备案的处罚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第三十八条：“违反本条例第十七条规定的，由市、县(市)、吉利区城市绿化行政主管部门责令限期改正；逾期不改正的，处以五千元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35</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绿地养护责任单位未按规定进行养护管理的处罚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105"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第三十九条：“违反本条例第二十条规定的，由市、县（市）、吉利区城市绿化行政主管部门责令限期改正；造成绿地严重损害的，按照损害绿地面积处以每平方米五十元以上一百元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36</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非养护管理单位和个人擅自修剪城市树木的处罚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 第四十一条第(二)项：“违反第二十八条规定，擅自修剪树木的，处以每株五百元以上一千元以下罚款。”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37</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擅自砍伐、移植古树名木的处罚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洛阳市城市绿化条例》（2014年7月30日河南省第十二届人民代表在会常务委员会第九次会议审议批准）第四十一条第(三)项：“违反第二十九条规定，砍伐、擅自移植古树名木的，处以每株五万元以上十万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38</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违反市政设施管理规定的处罚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《河南省市政设施管理办法》（2002年10月18日省政府第158次常务会议审议通过）第二十六条 ：“违反本办法第二十条规定，未经批准，有所列行为之一的，由市政行政主管部门责令限期改正，并可视情节轻重并处1000元以上1万元以下罚款。对市政设施造成损坏的，应当承担赔偿责任。”</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39</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擅自使用未经验收或者验收不合格的城市道路的处罚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《城市道路管理条例》（国务院令第198号令） 第四十条：“违反本条例第十七条规定，擅自使用未经验收或者验收不合格的城市道路的，由市政工程行政主管部门责令限期改正，给予警告，可以并处工程造价2%以下的罚款。”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40</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违反城市道路管理条例的处罚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18"/>
                <w:szCs w:val="18"/>
              </w:rPr>
            </w:pPr>
          </w:p>
          <w:p>
            <w:pPr>
              <w:pStyle w:val="11"/>
              <w:spacing w:before="1" w:line="280" w:lineRule="auto"/>
              <w:ind w:left="107" w:right="91"/>
              <w:jc w:val="both"/>
              <w:rPr>
                <w:rFonts w:hint="eastAsia"/>
                <w:sz w:val="18"/>
                <w:szCs w:val="18"/>
              </w:rPr>
            </w:pPr>
          </w:p>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道路管理条例》（国务院令第198号令）第四十二条：“违反本条例第二十七条规定，由市政工程行政主管部门或者其他有关部门责令限期改正，可以处以2万元以下的罚款；造成损失的，应当依法承担赔偿责任。”</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41</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未按照设计图纸进行施工的处罚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城市道路管理条例》（国务院令第198号令）第三十九条：“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42</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违反建筑垃圾管理规定的处罚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城市建筑垃圾管理规定》（建设部令第139号令）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43</w:t>
            </w:r>
          </w:p>
        </w:tc>
        <w:tc>
          <w:tcPr>
            <w:tcW w:w="707" w:type="dxa"/>
            <w:vMerge w:val="restart"/>
            <w:vAlign w:val="center"/>
          </w:tcPr>
          <w:p>
            <w:pPr>
              <w:pStyle w:val="11"/>
              <w:spacing w:line="280" w:lineRule="auto"/>
              <w:ind w:left="112" w:right="97"/>
              <w:jc w:val="center"/>
              <w:rPr>
                <w:sz w:val="24"/>
              </w:rPr>
            </w:pP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建筑垃圾储运消纳场受纳工业垃圾、生活垃圾和有毒有害垃圾的处罚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建筑垃圾管理规定》（建设部令第139号令）第二十一条：“建筑垃圾储运消纳场受纳工业垃圾、生活垃圾和有毒有害垃圾的，由城市人民政府市容环境卫生主管部门责令限期改正，给予警告，处5000元以上1万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44</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施工单位未及时清运工程施工过程中产生的建筑垃圾，造成环境污染的处罚；将建筑垃圾交给个人或者未经核准从事建筑垃圾运输的单位处置的处罚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城市建筑垃圾管理规定》（建设部令第139号令）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45</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处置建筑垃圾的单位在运输建筑垃圾过程中沿途丢弃遗撒建筑垃圾的处罚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ascii="宋体" w:hAnsi="宋体" w:eastAsia="宋体" w:cs="宋体"/>
                <w:b w:val="0"/>
                <w:color w:val="auto"/>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ascii="宋体" w:hAnsi="宋体" w:eastAsia="宋体" w:cs="宋体"/>
                <w:b w:val="0"/>
                <w:color w:val="auto"/>
                <w:sz w:val="21"/>
                <w:szCs w:val="21"/>
              </w:rPr>
              <w:t>《城市建筑垃圾管理规定》（建设部令第139号）第二十三条：“处置建筑垃圾的单位在运输建筑垃圾过程中沿途丢弃遗撒建筑垃圾的，由城市人民政府市容环境卫生主管部门责令限期改正，给予警告，处5000元以上5万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46</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涂改、倒卖、出租、出借或者以其他形式非法转让城市建筑垃圾处置核准文件的处罚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建筑垃圾管理规定》（建设部令第139号）第二十四条：“涂改、倒卖、出租、出借或者以其他形式非法转让城市建筑垃圾处置核准文件的，由城市人民政府市容环境卫生主管部门责令限期改正，给予警告，处5000元以上2万元以下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47</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未经核准以及超出核准处置建筑垃圾的处罚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建筑垃圾管理规定》（建设部令第139号令）第二十五条：“违反本规定，有列情形之一的，由城市人民政府市容环境卫生主管部门责令限期改正，给予警告，对施工单位处1万元以上10万元以下罚款，对建设单位、运输建筑垃圾的单位处5000元以上3万元以下罚款：（一）未经核准擅自处置建筑垃圾的；（二）处置超出核准范围的建筑垃圾的。”</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48</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任何单位和个人随意倾倒、抛撒或者堆放建筑垃圾的处罚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建筑垃圾管理规定》（建设部令第139号令）第二十六条：“任何单位和个人随意倾倒、抛撒或者堆放建筑垃圾的，由城市人民政府市容环境卫生主管部门责令限期改正，给予警告，并对单位处5000元以上5万元以下罚款，对个人处200元以下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49</w:t>
            </w:r>
          </w:p>
        </w:tc>
        <w:tc>
          <w:tcPr>
            <w:tcW w:w="707" w:type="dxa"/>
            <w:vMerge w:val="restart"/>
            <w:vAlign w:val="center"/>
          </w:tcPr>
          <w:p>
            <w:pPr>
              <w:pStyle w:val="11"/>
              <w:spacing w:line="280" w:lineRule="auto"/>
              <w:ind w:left="112" w:right="97"/>
              <w:jc w:val="center"/>
              <w:rPr>
                <w:sz w:val="24"/>
              </w:rPr>
            </w:pPr>
            <w:r>
              <w:rPr>
                <w:rFonts w:hint="eastAsia"/>
                <w:sz w:val="24"/>
                <w:lang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未按照城市生活垃圾治理规划和环境卫生设施标准配套建设城市生活垃圾收集设施的处罚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right="91"/>
              <w:jc w:val="both"/>
              <w:rPr>
                <w:rFonts w:hint="eastAsia"/>
                <w:sz w:val="21"/>
                <w:szCs w:val="21"/>
              </w:rPr>
            </w:pPr>
          </w:p>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《城市生活垃圾管理办法》（建设部令第157号令） 第三十九条：“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50</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城市生活垃圾处置设施未经验收或者验收不合格投入使用的处罚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《城市生活垃圾管理办法》（建设部令第157号令）第四十条：“违反本办法第十二条规定，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51</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从事生活垃圾经营性清扫、收集、运输的企业不履行义务的处罚</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建设部令第157号令）第四十五条第一款：“从事生活垃圾经营性清扫、收集、运输的企业不履行本办法第二十条规定义务的，由直辖市、市、县人民政府建设（环境卫生）主管部门责令限期改正，并可处以5000元以上3万元以下的罚款。”</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52</w:t>
            </w:r>
          </w:p>
        </w:tc>
        <w:tc>
          <w:tcPr>
            <w:tcW w:w="707" w:type="dxa"/>
            <w:vMerge w:val="restart"/>
            <w:vAlign w:val="center"/>
          </w:tcPr>
          <w:p>
            <w:pPr>
              <w:pStyle w:val="11"/>
              <w:spacing w:line="280" w:lineRule="auto"/>
              <w:ind w:left="112" w:right="97"/>
              <w:jc w:val="center"/>
              <w:rPr>
                <w:rFonts w:hint="eastAsia" w:eastAsia="宋体"/>
                <w:sz w:val="24"/>
                <w:lang w:val="en-US" w:eastAsia="zh-CN"/>
              </w:rPr>
            </w:pPr>
            <w:r>
              <w:rPr>
                <w:rFonts w:hint="eastAsia"/>
                <w:sz w:val="24"/>
                <w:lang w:val="en-US" w:eastAsia="zh-CN"/>
              </w:rPr>
              <w:t>城市管理</w:t>
            </w:r>
          </w:p>
        </w:tc>
        <w:tc>
          <w:tcPr>
            <w:tcW w:w="1668" w:type="dxa"/>
            <w:vAlign w:val="center"/>
          </w:tcPr>
          <w:p>
            <w:pPr>
              <w:pStyle w:val="11"/>
              <w:spacing w:line="280" w:lineRule="auto"/>
              <w:ind w:left="106" w:leftChars="0" w:right="92" w:rightChars="0"/>
              <w:jc w:val="left"/>
              <w:rPr>
                <w:rFonts w:ascii="宋体" w:hAnsi="宋体" w:eastAsia="宋体" w:cs="宋体"/>
                <w:sz w:val="24"/>
                <w:szCs w:val="22"/>
                <w:lang w:val="zh-CN" w:eastAsia="zh-CN" w:bidi="zh-CN"/>
              </w:rPr>
            </w:pPr>
            <w:r>
              <w:rPr>
                <w:rFonts w:hint="eastAsia"/>
                <w:sz w:val="24"/>
              </w:rPr>
              <w:t>城市生活垃圾经营性处置的企业不履行义务的处罚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建设部令第157号令）第四十五条第二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13" w:type="dxa"/>
            <w:vAlign w:val="top"/>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53</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单位和个人未按规定缴纳城市生活垃圾处理费的处罚</w:t>
            </w:r>
          </w:p>
        </w:tc>
        <w:tc>
          <w:tcPr>
            <w:tcW w:w="3263" w:type="dxa"/>
            <w:vAlign w:val="top"/>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21"/>
                <w:szCs w:val="21"/>
              </w:rPr>
              <w:t>《城市生活垃圾管理办法》（建设部令第157号令）第三十八条：“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613" w:type="dxa"/>
            <w:vAlign w:val="top"/>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54</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leftChars="0" w:right="-29" w:rightChars="0"/>
              <w:jc w:val="left"/>
              <w:rPr>
                <w:rFonts w:ascii="宋体" w:hAnsi="宋体" w:eastAsia="宋体" w:cs="宋体"/>
                <w:sz w:val="24"/>
                <w:szCs w:val="22"/>
                <w:lang w:val="zh-CN" w:eastAsia="zh-CN" w:bidi="zh-CN"/>
              </w:rPr>
            </w:pPr>
            <w:r>
              <w:rPr>
                <w:rFonts w:hint="eastAsia"/>
                <w:sz w:val="24"/>
              </w:rPr>
              <w:t>生活垃圾处置设施（场所）关闭、闲置或者拆除核准</w:t>
            </w:r>
          </w:p>
        </w:tc>
        <w:tc>
          <w:tcPr>
            <w:tcW w:w="3263" w:type="dxa"/>
            <w:vAlign w:val="top"/>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left="0" w:leftChars="0" w:right="0" w:rightChars="0" w:firstLine="0" w:firstLineChars="0"/>
              <w:jc w:val="left"/>
              <w:rPr>
                <w:rFonts w:ascii="宋体" w:hAnsi="宋体" w:eastAsia="宋体" w:cs="宋体"/>
                <w:sz w:val="24"/>
                <w:szCs w:val="22"/>
                <w:lang w:val="zh-CN" w:eastAsia="zh-CN" w:bidi="zh-CN"/>
              </w:rPr>
            </w:pPr>
            <w:r>
              <w:rPr>
                <w:rFonts w:hint="eastAsia"/>
                <w:sz w:val="24"/>
                <w:szCs w:val="24"/>
                <w:lang w:val="en-US" w:eastAsia="zh-CN"/>
              </w:rPr>
              <w:t>8.</w:t>
            </w:r>
            <w:r>
              <w:rPr>
                <w:sz w:val="24"/>
                <w:szCs w:val="24"/>
              </w:rPr>
              <w:t>救济渠道。</w:t>
            </w:r>
          </w:p>
        </w:tc>
        <w:tc>
          <w:tcPr>
            <w:tcW w:w="2887" w:type="dxa"/>
            <w:vAlign w:val="top"/>
          </w:tcPr>
          <w:p>
            <w:pPr>
              <w:pStyle w:val="11"/>
              <w:spacing w:before="1" w:line="280" w:lineRule="auto"/>
              <w:ind w:left="107" w:leftChars="0" w:right="91" w:rightChars="0"/>
              <w:jc w:val="both"/>
              <w:rPr>
                <w:rFonts w:ascii="宋体" w:hAnsi="宋体" w:eastAsia="宋体" w:cs="宋体"/>
                <w:sz w:val="24"/>
                <w:szCs w:val="22"/>
                <w:lang w:val="zh-CN" w:eastAsia="zh-CN" w:bidi="zh-CN"/>
              </w:rPr>
            </w:pPr>
            <w:r>
              <w:rPr>
                <w:rFonts w:hint="eastAsia"/>
                <w:sz w:val="18"/>
                <w:szCs w:val="18"/>
              </w:rPr>
              <w:t>《中华人民共和国固体废物污染环境防治法》（中华人民共和国主席令第五十八号，中华人民共和国第十届全国人民代表大会 常务委员会第十三次会议于2004年12月29日修订通过，自2005年4月1日起施行 )第四十四条第二款：“禁止擅自关闭、闲置或者拆除生活垃圾处置的设施、场所；确有必要关闭、闲置或者拆除的，必须经所在地的市、县人民政府环境卫生行政主管部门和环境保护行政主管部门核准，并采取措施，防止污染环境。”</w:t>
            </w:r>
          </w:p>
        </w:tc>
        <w:tc>
          <w:tcPr>
            <w:tcW w:w="1613" w:type="dxa"/>
            <w:vAlign w:val="top"/>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w:t>
            </w:r>
            <w:r>
              <w:rPr>
                <w:rFonts w:hint="eastAsia"/>
                <w:sz w:val="24"/>
                <w:szCs w:val="24"/>
                <w:lang w:eastAsia="zh-CN"/>
              </w:rPr>
              <w:t>办理期限</w:t>
            </w:r>
            <w:r>
              <w:rPr>
                <w:spacing w:val="-17"/>
                <w:sz w:val="24"/>
              </w:rPr>
              <w:t>：</w:t>
            </w:r>
          </w:p>
          <w:p>
            <w:pPr>
              <w:pStyle w:val="11"/>
              <w:spacing w:line="280" w:lineRule="auto"/>
              <w:ind w:left="107" w:leftChars="0" w:right="91" w:rightChars="0"/>
              <w:rPr>
                <w:rFonts w:ascii="宋体" w:hAnsi="宋体" w:eastAsia="宋体" w:cs="宋体"/>
                <w:sz w:val="24"/>
                <w:szCs w:val="22"/>
                <w:lang w:val="zh-CN" w:eastAsia="zh-CN" w:bidi="zh-CN"/>
              </w:rPr>
            </w:pPr>
            <w:r>
              <w:rPr>
                <w:rFonts w:hint="eastAsia"/>
                <w:sz w:val="24"/>
                <w:lang w:val="en-US" w:eastAsia="zh-CN"/>
              </w:rPr>
              <w:t>5</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55</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擅自关闭、闲置或者拆除城市生活垃圾处置设施场所的处罚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城市生活垃圾管理办法》(建设部令第157号令）第四十一条：“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56</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随意倾倒、抛洒、堆放城市生活垃圾的处罚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《城市生活垃圾管理办法》（建设部令第157号令） 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57</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未经批准从事城市生活垃圾经营性清扫、收集、运输或者处置活动的处罚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城市生活垃圾管理办法》（建设部令第157号令）第四十三条：“违反本办法第十七条、第二十五条规定，未经批准从事城市生活垃圾经营性清扫、收集、运输或者处置活动的，由直辖市、市、县人民政府建设（环境卫生）主管部门责令停止违法行为，并处以3万元的罚款。”</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58</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从事城市生活垃圾经营性的企业在运输过程中丢弃、遗撒生活垃圾的处罚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城市生活垃圾管理办法》（建设部令第157号令）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59</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从事生活垃圾经营性的企业不履行义务的处罚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18"/>
                <w:szCs w:val="18"/>
              </w:rPr>
              <w:t>《城市生活垃圾管理办法》（建设部令第157号令）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60</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从事城市生活垃圾经营性处置的企业，未经批准擅自停业、歇业的处罚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18"/>
                <w:szCs w:val="18"/>
              </w:rPr>
              <w:t>《城市生活垃圾管理办法》（建设部令第157号令）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sz w:val="24"/>
              </w:rPr>
              <w:t>20 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61</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无证或者超越资质证书规定的经营范围进行城市道路照明设施工程设计或者施工的处罚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《洛阳市城市道路照明设施管理办法》(2005年7月6日洛阳市人民政府第77号令修订)第十八条第一项：“无证或者超越资质证书规定的经营范围进行城市道路照明设施工程设计或者施工的，处以5000元至1万元罚款。”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62</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未按国家规定的技术标准和规范进行城市道路照明设施工程设计或者施工的处罚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《洛阳市城市道路照明设施管理办法》(2005年7月6日洛阳市人民政府第77号令修订)第十八条第二项：“未按国家规定的技术标准和规范进行城市道路照明设施工程设计或者施工的，处以5000元至2万元罚款。”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63</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违反城市道路照明发展规划及年度计划兴建城市道路照明工程的处罚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《洛阳市城市道路照明设施管理办法》(2005年7月6日洛阳市人民政府第77号令修订)第十八条第三项：“违反城市道路照明发展规划及年度计划兴建城市道路照明工程的，处以2000元至5000元罚款。 ”</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64</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擅自拆除、迁移、改动城市道路照明设施的处罚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rFonts w:hint="eastAsia"/>
                <w:sz w:val="24"/>
              </w:rPr>
            </w:pPr>
          </w:p>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《洛阳市城市道路照明设施管理办法》(2005年7月6日洛阳市人民政府第77号令修订)第十九条第一项：“擅自拆除、迁移、改动城市道路照明设施的，处以500元至1000元罚款。”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65</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在城市道路照明设施上涂、画、刻、写、张贴，擅自悬挂宣传品、广告、路标、路牌的处罚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rFonts w:hint="eastAsia"/>
                <w:sz w:val="24"/>
              </w:rPr>
            </w:pPr>
          </w:p>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二项：“在城市道路照明设施上涂、画、刻、写、张贴，擅自悬挂宣传品、广告、路标、路牌等，处以50元至500元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66</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擅自在城市道路照明设施上架设电力、通讯线（缆）或者安置其他设施的处罚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《洛阳市城市道路照明设施管理办法》(1998年9月8日洛阳市人民政府第36号令发布 2005年7月6日洛阳市人民政府第77号令修订)第十九条第三项：“擅自在城市道路照明设施上架设电力、通讯线（缆）或者安置其他设施的，处以5000元至3万元罚款。”</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67</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在城市道路照明设施安全距离之内堆放杂物、挖坑取土、兴建建筑物的处罚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《洛阳市城市道路照明设施管理办法》(2005年7月6日洛阳市人民政府第77号令修订)第十九条第四项：“在城市道路照明设施安全距离之内堆放杂物、挖坑取土、兴建建筑物的，处以50元至500元罚款。”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68</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在城市道路照明设施附近倾倒具有腐蚀性的废渣、废液的处罚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《洛阳市城市道路照明设施管理办法》（2005年7月6日洛阳市人民政府第77号令修订)第十九条第五项：“在城市道路照明设施附近倾倒具有腐蚀性的废渣、废液的，处以100元至500元罚款。”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69</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擅自接用道路照明电源的处罚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《洛阳市城市道路照明设施管理办法》(2005年7月6日洛阳市人民政府第77号令修订)第十九条第六项：“擅自接用道路照明电源的，处以100元至1000元罚款。”</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70</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故意损坏城市道路照明设施的处罚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《洛阳市城市道路照明设施管理办法》(2005年7月6日洛阳市人民政府第77号令修订)第十九条第七项：“故意损坏城市道路照明设施的，处以100元至500元罚款。”</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71</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非法占用道路照明设施的处罚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24"/>
              </w:rPr>
              <w:t>《洛阳市城市道路照明设施管理办法》(2005年7月6日洛阳市人民政府第77号令修订)第十九条第八项：“不听劝阻，非法占用道路照明设施的，处以500元至1000元罚款。”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sz w:val="24"/>
              </w:rPr>
              <w:t>20 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72</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未按规定进行养护维修或者养护维修工程质量不符合标准的处罚</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18"/>
                <w:szCs w:val="18"/>
              </w:rPr>
              <w:t>《洛阳市市政设施管理条例》（2005年3月31日河南省第十届人民代表大会常务委员会第十五次会议批准的《关于修改〈洛阳市市政设施管理条例〉的决定》修正）第三十六条：“市政设施养护维修单位未按规定进行养护维修或者养护维修工程质量不符合标准的，由市政设施行政主管部门责令其限期改正，逾期不改的，可并处以二万元以下罚款；对主管人员和直接责任人，由其上级行政主管部门给予行政处分。”</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sz w:val="24"/>
              </w:rPr>
              <w:t>20 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73</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排放油烟的餐饮服务业经营者未安装油烟净化设施，不正常使 用油烟净化设施或者未采取其他油烟净化措施，超过排放标准 排放油烟的处罚</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职权名称、行政处罚种类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18"/>
                <w:szCs w:val="18"/>
              </w:rPr>
              <w:t>《中华人民共和国大气污染防治法》中华人民共和国主席令第三十二号2015年8月29日第八十一条　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任何单位和个人不得在当地人民政府禁止的区域内露天烧烤食品或者为露天烧烤食品提供场地。</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before="1"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74</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凡不符合城市容貌标准、环境卫生标准的建（构）筑物和其他设施的强制</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职权名称、强制种类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、收费依据及标准</w:t>
            </w:r>
            <w:r>
              <w:rPr>
                <w:sz w:val="24"/>
                <w:szCs w:val="24"/>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办理期限</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7.监督投诉机构及联系电话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8.</w:t>
            </w:r>
            <w:r>
              <w:rPr>
                <w:sz w:val="24"/>
                <w:szCs w:val="24"/>
              </w:rPr>
              <w:t>救济渠道。</w:t>
            </w:r>
          </w:p>
        </w:tc>
        <w:tc>
          <w:tcPr>
            <w:tcW w:w="2887" w:type="dxa"/>
          </w:tcPr>
          <w:p>
            <w:pPr>
              <w:pStyle w:val="11"/>
              <w:spacing w:before="1" w:line="280" w:lineRule="auto"/>
              <w:ind w:left="107" w:right="91"/>
              <w:jc w:val="both"/>
              <w:rPr>
                <w:sz w:val="24"/>
              </w:rPr>
            </w:pPr>
            <w:r>
              <w:rPr>
                <w:rFonts w:hint="eastAsia"/>
                <w:sz w:val="18"/>
                <w:szCs w:val="18"/>
              </w:rPr>
              <w:t>《洛阳市城市市容和环境卫生管理条例》（2011年6月30日通过）第四十二条“凡不符合城市容貌标准、环境卫生标准的建（构）筑物和其他设施，由市、县（市、区）市容环境卫生行政主管部门会同规划行政主管部门，责令限期改造或拆除；逾期未改造、拆除的，经本级人民政府批准，由市容环境卫生行政主管部门组织强制拆除，拆除费用由被拆单位或者个人承担，可以并处五千元以上一万元以下罚款。”</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48"/>
              <w:rPr>
                <w:sz w:val="24"/>
              </w:rPr>
            </w:pPr>
            <w:r>
              <w:rPr>
                <w:sz w:val="24"/>
              </w:rPr>
              <w:t>（动态调整</w:t>
            </w:r>
            <w:r>
              <w:rPr>
                <w:spacing w:val="-120"/>
                <w:sz w:val="24"/>
              </w:rPr>
              <w:t>）</w:t>
            </w:r>
            <w:r>
              <w:rPr>
                <w:sz w:val="24"/>
              </w:rPr>
              <w:t>2.处罚决定</w:t>
            </w:r>
            <w:r>
              <w:rPr>
                <w:spacing w:val="-17"/>
                <w:sz w:val="24"/>
              </w:rPr>
              <w:t>：</w:t>
            </w:r>
          </w:p>
          <w:p>
            <w:pPr>
              <w:pStyle w:val="11"/>
              <w:spacing w:before="1" w:line="280" w:lineRule="auto"/>
              <w:ind w:left="107" w:right="91"/>
              <w:rPr>
                <w:sz w:val="24"/>
              </w:rPr>
            </w:pPr>
            <w:r>
              <w:rPr>
                <w:rFonts w:hint="eastAsia"/>
                <w:sz w:val="24"/>
                <w:lang w:val="en-US" w:eastAsia="zh-CN"/>
              </w:rPr>
              <w:t>90</w:t>
            </w:r>
            <w:r>
              <w:rPr>
                <w:sz w:val="24"/>
              </w:rPr>
              <w:t>个工作日内。</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75</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擅自堆放物品，影响市政设施养护和正常运行，在限期内不予以清除的强制</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职权名称、强制种类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7.</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洛阳市市政设施管理条例》（2005年3月31日河南省第十届人民代表大会常务委员会第十五次会议批准的《关于修改〈洛阳市市政设施管理条例〉的决定》修正）第三十五条(二)：“擅自堆放物品，影响市政设施养护和正常运行，在期限内不予以清除的，市政设施行政主管部门报经市、县（市）人民政府批准可以强行清除。”</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pacing w:val="11"/>
                <w:sz w:val="24"/>
              </w:rPr>
              <w:t>除处罚决</w:t>
            </w:r>
            <w:r>
              <w:rPr>
                <w:spacing w:val="35"/>
                <w:sz w:val="24"/>
              </w:rPr>
              <w:t>定外其他内</w:t>
            </w:r>
            <w:r>
              <w:rPr>
                <w:spacing w:val="-11"/>
                <w:sz w:val="24"/>
              </w:rPr>
              <w:t>容：长期公开</w:t>
            </w:r>
          </w:p>
          <w:p>
            <w:pPr>
              <w:pStyle w:val="11"/>
              <w:spacing w:line="280" w:lineRule="auto"/>
              <w:ind w:left="107" w:right="91"/>
              <w:rPr>
                <w:sz w:val="24"/>
              </w:rPr>
            </w:pPr>
            <w:r>
              <w:rPr>
                <w:sz w:val="24"/>
              </w:rPr>
              <w:t>（动态调整</w:t>
            </w:r>
            <w:r>
              <w:rPr>
                <w:spacing w:val="-120"/>
                <w:sz w:val="24"/>
              </w:rPr>
              <w:t>）</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p/>
    <w:p/>
    <w:tbl>
      <w:tblPr>
        <w:tblStyle w:val="3"/>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2"/>
        <w:gridCol w:w="707"/>
        <w:gridCol w:w="1668"/>
        <w:gridCol w:w="3263"/>
        <w:gridCol w:w="2887"/>
        <w:gridCol w:w="1613"/>
        <w:gridCol w:w="712"/>
        <w:gridCol w:w="4463"/>
        <w:gridCol w:w="775"/>
        <w:gridCol w:w="775"/>
        <w:gridCol w:w="775"/>
        <w:gridCol w:w="775"/>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772" w:type="dxa"/>
            <w:vMerge w:val="restart"/>
          </w:tcPr>
          <w:p>
            <w:pPr>
              <w:pStyle w:val="11"/>
              <w:spacing w:before="5"/>
              <w:rPr>
                <w:rFonts w:ascii="方正小标宋简体"/>
                <w:sz w:val="29"/>
              </w:rPr>
            </w:pPr>
          </w:p>
          <w:p>
            <w:pPr>
              <w:pStyle w:val="11"/>
              <w:spacing w:before="1"/>
              <w:ind w:left="145"/>
              <w:rPr>
                <w:sz w:val="24"/>
              </w:rPr>
            </w:pPr>
            <w:r>
              <w:rPr>
                <w:sz w:val="24"/>
              </w:rPr>
              <w:t>序号</w:t>
            </w:r>
          </w:p>
        </w:tc>
        <w:tc>
          <w:tcPr>
            <w:tcW w:w="2375" w:type="dxa"/>
            <w:gridSpan w:val="2"/>
          </w:tcPr>
          <w:p>
            <w:pPr>
              <w:pStyle w:val="11"/>
              <w:spacing w:before="152"/>
              <w:ind w:left="705"/>
              <w:rPr>
                <w:sz w:val="24"/>
              </w:rPr>
            </w:pPr>
            <w:r>
              <w:rPr>
                <w:sz w:val="24"/>
              </w:rPr>
              <w:t>公开事项</w:t>
            </w:r>
          </w:p>
        </w:tc>
        <w:tc>
          <w:tcPr>
            <w:tcW w:w="3263" w:type="dxa"/>
            <w:vMerge w:val="restart"/>
          </w:tcPr>
          <w:p>
            <w:pPr>
              <w:pStyle w:val="11"/>
              <w:spacing w:before="5"/>
              <w:rPr>
                <w:rFonts w:ascii="方正小标宋简体"/>
                <w:sz w:val="29"/>
              </w:rPr>
            </w:pPr>
          </w:p>
          <w:p>
            <w:pPr>
              <w:pStyle w:val="11"/>
              <w:spacing w:before="1"/>
              <w:ind w:left="1130" w:right="1117"/>
              <w:jc w:val="center"/>
              <w:rPr>
                <w:sz w:val="24"/>
              </w:rPr>
            </w:pPr>
            <w:r>
              <w:rPr>
                <w:sz w:val="24"/>
              </w:rPr>
              <w:t>公开内容</w:t>
            </w:r>
          </w:p>
        </w:tc>
        <w:tc>
          <w:tcPr>
            <w:tcW w:w="2887" w:type="dxa"/>
            <w:vMerge w:val="restart"/>
          </w:tcPr>
          <w:p>
            <w:pPr>
              <w:pStyle w:val="11"/>
              <w:spacing w:before="5"/>
              <w:rPr>
                <w:rFonts w:ascii="方正小标宋简体"/>
                <w:sz w:val="29"/>
              </w:rPr>
            </w:pPr>
          </w:p>
          <w:p>
            <w:pPr>
              <w:pStyle w:val="11"/>
              <w:spacing w:before="1"/>
              <w:ind w:left="961"/>
              <w:rPr>
                <w:sz w:val="24"/>
              </w:rPr>
            </w:pPr>
            <w:r>
              <w:rPr>
                <w:sz w:val="24"/>
              </w:rPr>
              <w:t>公开依据</w:t>
            </w:r>
          </w:p>
        </w:tc>
        <w:tc>
          <w:tcPr>
            <w:tcW w:w="1613" w:type="dxa"/>
            <w:vMerge w:val="restart"/>
          </w:tcPr>
          <w:p>
            <w:pPr>
              <w:pStyle w:val="11"/>
              <w:spacing w:before="2"/>
              <w:rPr>
                <w:rFonts w:ascii="方正小标宋简体"/>
                <w:sz w:val="19"/>
              </w:rPr>
            </w:pPr>
          </w:p>
          <w:p>
            <w:pPr>
              <w:pStyle w:val="11"/>
              <w:spacing w:before="1" w:line="280" w:lineRule="auto"/>
              <w:ind w:left="566" w:right="549"/>
              <w:jc w:val="center"/>
              <w:rPr>
                <w:sz w:val="24"/>
              </w:rPr>
            </w:pPr>
            <w:r>
              <w:rPr>
                <w:sz w:val="24"/>
              </w:rPr>
              <w:t>公开时限</w:t>
            </w:r>
          </w:p>
        </w:tc>
        <w:tc>
          <w:tcPr>
            <w:tcW w:w="712" w:type="dxa"/>
            <w:vMerge w:val="restart"/>
          </w:tcPr>
          <w:p>
            <w:pPr>
              <w:pStyle w:val="11"/>
              <w:spacing w:before="2"/>
              <w:rPr>
                <w:rFonts w:ascii="方正小标宋简体"/>
                <w:sz w:val="19"/>
              </w:rPr>
            </w:pPr>
          </w:p>
          <w:p>
            <w:pPr>
              <w:pStyle w:val="11"/>
              <w:spacing w:before="1" w:line="280" w:lineRule="auto"/>
              <w:ind w:left="114" w:right="100"/>
              <w:rPr>
                <w:sz w:val="24"/>
              </w:rPr>
            </w:pPr>
            <w:r>
              <w:rPr>
                <w:sz w:val="24"/>
              </w:rPr>
              <w:t>公开主体</w:t>
            </w:r>
          </w:p>
        </w:tc>
        <w:tc>
          <w:tcPr>
            <w:tcW w:w="4463" w:type="dxa"/>
            <w:vMerge w:val="restart"/>
          </w:tcPr>
          <w:p>
            <w:pPr>
              <w:pStyle w:val="11"/>
              <w:spacing w:before="5"/>
              <w:rPr>
                <w:rFonts w:ascii="方正小标宋简体"/>
                <w:sz w:val="29"/>
              </w:rPr>
            </w:pPr>
          </w:p>
          <w:p>
            <w:pPr>
              <w:pStyle w:val="11"/>
              <w:spacing w:before="1"/>
              <w:ind w:left="1389"/>
              <w:rPr>
                <w:sz w:val="24"/>
              </w:rPr>
            </w:pPr>
            <w:r>
              <w:rPr>
                <w:sz w:val="24"/>
              </w:rPr>
              <w:t>公开渠道和载体</w:t>
            </w:r>
          </w:p>
        </w:tc>
        <w:tc>
          <w:tcPr>
            <w:tcW w:w="1550" w:type="dxa"/>
            <w:gridSpan w:val="2"/>
          </w:tcPr>
          <w:p>
            <w:pPr>
              <w:pStyle w:val="11"/>
              <w:spacing w:before="152"/>
              <w:ind w:left="294"/>
              <w:rPr>
                <w:sz w:val="24"/>
              </w:rPr>
            </w:pPr>
            <w:r>
              <w:rPr>
                <w:sz w:val="24"/>
              </w:rPr>
              <w:t>公开对象</w:t>
            </w:r>
          </w:p>
        </w:tc>
        <w:tc>
          <w:tcPr>
            <w:tcW w:w="1550" w:type="dxa"/>
            <w:gridSpan w:val="2"/>
          </w:tcPr>
          <w:p>
            <w:pPr>
              <w:pStyle w:val="11"/>
              <w:spacing w:before="152"/>
              <w:ind w:left="294"/>
              <w:rPr>
                <w:sz w:val="24"/>
              </w:rPr>
            </w:pPr>
            <w:r>
              <w:rPr>
                <w:sz w:val="24"/>
              </w:rPr>
              <w:t>公开方式</w:t>
            </w:r>
          </w:p>
        </w:tc>
        <w:tc>
          <w:tcPr>
            <w:tcW w:w="1550" w:type="dxa"/>
            <w:gridSpan w:val="2"/>
          </w:tcPr>
          <w:p>
            <w:pPr>
              <w:pStyle w:val="11"/>
              <w:spacing w:before="152"/>
              <w:ind w:left="294"/>
              <w:rPr>
                <w:sz w:val="24"/>
              </w:rPr>
            </w:pPr>
            <w:r>
              <w:rPr>
                <w:sz w:val="24"/>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2" w:hRule="atLeast"/>
        </w:trPr>
        <w:tc>
          <w:tcPr>
            <w:tcW w:w="772" w:type="dxa"/>
            <w:vMerge w:val="continue"/>
            <w:tcBorders>
              <w:top w:val="nil"/>
            </w:tcBorders>
          </w:tcPr>
          <w:p>
            <w:pPr>
              <w:rPr>
                <w:sz w:val="2"/>
                <w:szCs w:val="2"/>
              </w:rPr>
            </w:pPr>
          </w:p>
        </w:tc>
        <w:tc>
          <w:tcPr>
            <w:tcW w:w="707" w:type="dxa"/>
          </w:tcPr>
          <w:p>
            <w:pPr>
              <w:pStyle w:val="11"/>
              <w:spacing w:before="2" w:line="360" w:lineRule="exact"/>
              <w:ind w:left="112" w:right="97"/>
              <w:rPr>
                <w:sz w:val="24"/>
              </w:rPr>
            </w:pPr>
            <w:r>
              <w:rPr>
                <w:sz w:val="24"/>
              </w:rPr>
              <w:t>一级事项</w:t>
            </w:r>
          </w:p>
        </w:tc>
        <w:tc>
          <w:tcPr>
            <w:tcW w:w="1668" w:type="dxa"/>
          </w:tcPr>
          <w:p>
            <w:pPr>
              <w:pStyle w:val="11"/>
              <w:spacing w:before="17"/>
              <w:rPr>
                <w:rFonts w:ascii="方正小标宋简体"/>
                <w:sz w:val="12"/>
              </w:rPr>
            </w:pPr>
          </w:p>
          <w:p>
            <w:pPr>
              <w:pStyle w:val="11"/>
              <w:ind w:left="353"/>
              <w:rPr>
                <w:sz w:val="24"/>
              </w:rPr>
            </w:pPr>
            <w:r>
              <w:rPr>
                <w:sz w:val="24"/>
              </w:rPr>
              <w:t>二级事项</w:t>
            </w:r>
          </w:p>
        </w:tc>
        <w:tc>
          <w:tcPr>
            <w:tcW w:w="3263"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463" w:type="dxa"/>
            <w:vMerge w:val="continue"/>
            <w:tcBorders>
              <w:top w:val="nil"/>
            </w:tcBorders>
          </w:tcPr>
          <w:p>
            <w:pPr>
              <w:rPr>
                <w:sz w:val="2"/>
                <w:szCs w:val="2"/>
              </w:rPr>
            </w:pPr>
          </w:p>
        </w:tc>
        <w:tc>
          <w:tcPr>
            <w:tcW w:w="775" w:type="dxa"/>
          </w:tcPr>
          <w:p>
            <w:pPr>
              <w:pStyle w:val="11"/>
              <w:spacing w:before="2" w:line="360" w:lineRule="exact"/>
              <w:ind w:left="147" w:right="130" w:firstLine="120"/>
              <w:rPr>
                <w:sz w:val="24"/>
              </w:rPr>
            </w:pPr>
            <w:r>
              <w:rPr>
                <w:sz w:val="24"/>
              </w:rPr>
              <w:t>全社会</w:t>
            </w:r>
          </w:p>
        </w:tc>
        <w:tc>
          <w:tcPr>
            <w:tcW w:w="775" w:type="dxa"/>
          </w:tcPr>
          <w:p>
            <w:pPr>
              <w:pStyle w:val="11"/>
              <w:spacing w:before="2" w:line="360" w:lineRule="exact"/>
              <w:ind w:left="145" w:right="132"/>
              <w:rPr>
                <w:sz w:val="24"/>
              </w:rPr>
            </w:pPr>
            <w:r>
              <w:rPr>
                <w:sz w:val="24"/>
              </w:rPr>
              <w:t>特定群体</w:t>
            </w:r>
          </w:p>
        </w:tc>
        <w:tc>
          <w:tcPr>
            <w:tcW w:w="775" w:type="dxa"/>
          </w:tcPr>
          <w:p>
            <w:pPr>
              <w:pStyle w:val="11"/>
              <w:spacing w:before="17"/>
              <w:rPr>
                <w:rFonts w:ascii="方正小标宋简体"/>
                <w:sz w:val="12"/>
              </w:rPr>
            </w:pPr>
          </w:p>
          <w:p>
            <w:pPr>
              <w:pStyle w:val="11"/>
              <w:ind w:left="125" w:right="114"/>
              <w:jc w:val="center"/>
              <w:rPr>
                <w:sz w:val="24"/>
              </w:rPr>
            </w:pPr>
            <w:r>
              <w:rPr>
                <w:sz w:val="24"/>
              </w:rPr>
              <w:t>主动</w:t>
            </w:r>
          </w:p>
        </w:tc>
        <w:tc>
          <w:tcPr>
            <w:tcW w:w="775" w:type="dxa"/>
          </w:tcPr>
          <w:p>
            <w:pPr>
              <w:pStyle w:val="11"/>
              <w:spacing w:before="2" w:line="360" w:lineRule="exact"/>
              <w:ind w:left="145" w:right="132" w:firstLine="120"/>
              <w:rPr>
                <w:sz w:val="24"/>
              </w:rPr>
            </w:pPr>
            <w:r>
              <w:rPr>
                <w:sz w:val="24"/>
              </w:rPr>
              <w:t>依申请</w:t>
            </w:r>
          </w:p>
        </w:tc>
        <w:tc>
          <w:tcPr>
            <w:tcW w:w="775" w:type="dxa"/>
          </w:tcPr>
          <w:p>
            <w:pPr>
              <w:pStyle w:val="11"/>
              <w:spacing w:before="17"/>
              <w:rPr>
                <w:rFonts w:ascii="方正小标宋简体"/>
                <w:sz w:val="12"/>
              </w:rPr>
            </w:pPr>
          </w:p>
          <w:p>
            <w:pPr>
              <w:pStyle w:val="11"/>
              <w:ind w:left="125" w:right="113"/>
              <w:jc w:val="center"/>
              <w:rPr>
                <w:sz w:val="24"/>
              </w:rPr>
            </w:pPr>
            <w:r>
              <w:rPr>
                <w:sz w:val="24"/>
              </w:rPr>
              <w:t>市级</w:t>
            </w:r>
          </w:p>
        </w:tc>
        <w:tc>
          <w:tcPr>
            <w:tcW w:w="775" w:type="dxa"/>
          </w:tcPr>
          <w:p>
            <w:pPr>
              <w:pStyle w:val="11"/>
              <w:spacing w:before="17"/>
              <w:rPr>
                <w:rFonts w:ascii="方正小标宋简体"/>
                <w:sz w:val="12"/>
              </w:rPr>
            </w:pPr>
          </w:p>
          <w:p>
            <w:pPr>
              <w:pStyle w:val="11"/>
              <w:ind w:left="125" w:right="113"/>
              <w:jc w:val="center"/>
              <w:rPr>
                <w:sz w:val="24"/>
              </w:rPr>
            </w:pPr>
            <w:r>
              <w:rPr>
                <w:sz w:val="24"/>
              </w:rPr>
              <w:t>县级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4"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76</w:t>
            </w:r>
          </w:p>
        </w:tc>
        <w:tc>
          <w:tcPr>
            <w:tcW w:w="707" w:type="dxa"/>
            <w:vMerge w:val="restart"/>
            <w:vAlign w:val="center"/>
          </w:tcPr>
          <w:p>
            <w:pPr>
              <w:pStyle w:val="11"/>
              <w:spacing w:line="280" w:lineRule="auto"/>
              <w:ind w:left="112" w:right="97"/>
              <w:jc w:val="center"/>
              <w:rPr>
                <w:rFonts w:hint="eastAsia" w:eastAsia="宋体"/>
                <w:sz w:val="24"/>
                <w:lang w:eastAsia="zh-CN"/>
              </w:rPr>
            </w:pPr>
            <w:r>
              <w:rPr>
                <w:rFonts w:hint="eastAsia"/>
                <w:sz w:val="24"/>
                <w:lang w:eastAsia="zh-CN"/>
              </w:rPr>
              <w:t>城市管理</w:t>
            </w:r>
          </w:p>
        </w:tc>
        <w:tc>
          <w:tcPr>
            <w:tcW w:w="1668" w:type="dxa"/>
            <w:vAlign w:val="center"/>
          </w:tcPr>
          <w:p>
            <w:pPr>
              <w:pStyle w:val="11"/>
              <w:spacing w:line="280" w:lineRule="auto"/>
              <w:ind w:left="106" w:right="-29"/>
              <w:jc w:val="left"/>
              <w:rPr>
                <w:sz w:val="24"/>
              </w:rPr>
            </w:pPr>
            <w:r>
              <w:rPr>
                <w:rFonts w:hint="eastAsia"/>
                <w:sz w:val="24"/>
              </w:rPr>
              <w:t>正在实施损坏市政设施的行为，拒不执行市政主管部门责令停止的决定的行为强制</w:t>
            </w:r>
          </w:p>
        </w:tc>
        <w:tc>
          <w:tcPr>
            <w:tcW w:w="3263" w:type="dxa"/>
          </w:tcPr>
          <w:p>
            <w:pPr>
              <w:pStyle w:val="11"/>
              <w:spacing w:before="5"/>
              <w:rPr>
                <w:rFonts w:ascii="方正小标宋简体"/>
                <w:sz w:val="12"/>
              </w:rPr>
            </w:pP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职权名称、强制种类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7.</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洛阳市市政设施管理条例》（2005年3月31日河南省第十届人民代表大会常务委员会第十五次会议批准的《关于修改〈洛阳市市政设施管理条例〉的决定》修正）第三十五条（四）:“对正在实施损坏市政设施行为，拒不执行市政设施行政主管部门责令停止的决定的，可以暂扣、查封继续从事违法行为的工具和机具。”</w:t>
            </w:r>
          </w:p>
        </w:tc>
        <w:tc>
          <w:tcPr>
            <w:tcW w:w="1613" w:type="dxa"/>
          </w:tcPr>
          <w:p>
            <w:pPr>
              <w:pStyle w:val="11"/>
              <w:spacing w:before="11"/>
              <w:rPr>
                <w:rFonts w:ascii="方正小标宋简体"/>
                <w:sz w:val="32"/>
              </w:rPr>
            </w:pPr>
          </w:p>
          <w:p>
            <w:pPr>
              <w:pStyle w:val="11"/>
              <w:spacing w:line="280" w:lineRule="auto"/>
              <w:ind w:left="107" w:right="91"/>
              <w:jc w:val="both"/>
              <w:rPr>
                <w:sz w:val="24"/>
              </w:rPr>
            </w:pPr>
            <w:r>
              <w:rPr>
                <w:spacing w:val="11"/>
                <w:sz w:val="24"/>
              </w:rPr>
              <w:t>除处罚决</w:t>
            </w:r>
            <w:r>
              <w:rPr>
                <w:spacing w:val="35"/>
                <w:sz w:val="24"/>
              </w:rPr>
              <w:t>定外其他内</w:t>
            </w:r>
            <w:r>
              <w:rPr>
                <w:spacing w:val="-11"/>
                <w:sz w:val="24"/>
              </w:rPr>
              <w:t>容：长期公开</w:t>
            </w:r>
          </w:p>
          <w:p>
            <w:pPr>
              <w:pStyle w:val="11"/>
              <w:spacing w:line="280" w:lineRule="auto"/>
              <w:ind w:left="107" w:right="91"/>
              <w:rPr>
                <w:sz w:val="24"/>
              </w:rPr>
            </w:pPr>
            <w:r>
              <w:rPr>
                <w:sz w:val="24"/>
              </w:rPr>
              <w:t>（动态调整</w:t>
            </w:r>
            <w:r>
              <w:rPr>
                <w:spacing w:val="-120"/>
                <w:sz w:val="24"/>
              </w:rPr>
              <w:t>）</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spacing w:before="11"/>
              <w:rPr>
                <w:rFonts w:ascii="方正小标宋简体"/>
                <w:sz w:val="32"/>
              </w:rPr>
            </w:pPr>
          </w:p>
          <w:p>
            <w:pPr>
              <w:pStyle w:val="11"/>
              <w:numPr>
                <w:ilvl w:val="0"/>
                <w:numId w:val="6"/>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6"/>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12"/>
              <w:rPr>
                <w:rFonts w:ascii="方正小标宋简体"/>
                <w:sz w:val="21"/>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5"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77</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92"/>
              <w:jc w:val="left"/>
              <w:rPr>
                <w:sz w:val="24"/>
              </w:rPr>
            </w:pPr>
            <w:r>
              <w:rPr>
                <w:rFonts w:hint="eastAsia"/>
                <w:sz w:val="24"/>
              </w:rPr>
              <w:t>在汛期，防洪设施管理范围内的阻水设施和违章</w:t>
            </w:r>
            <w:r>
              <w:rPr>
                <w:rFonts w:hint="eastAsia"/>
                <w:sz w:val="24"/>
                <w:lang w:eastAsia="zh-CN"/>
              </w:rPr>
              <w:t>建</w:t>
            </w:r>
            <w:r>
              <w:rPr>
                <w:rFonts w:hint="eastAsia"/>
                <w:sz w:val="24"/>
              </w:rPr>
              <w:t>（构）筑物，在限期内不自行拆除的强制</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职权名称、强制种类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2.</w:t>
            </w:r>
            <w:r>
              <w:rPr>
                <w:rFonts w:hint="eastAsia"/>
                <w:sz w:val="24"/>
                <w:szCs w:val="24"/>
                <w:lang w:eastAsia="zh-CN"/>
              </w:rPr>
              <w:t>设立</w:t>
            </w:r>
            <w:r>
              <w:rPr>
                <w:sz w:val="24"/>
                <w:szCs w:val="24"/>
              </w:rPr>
              <w:t>依据；</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2" w:after="0" w:line="240" w:lineRule="auto"/>
              <w:ind w:right="0" w:rightChars="0"/>
              <w:jc w:val="left"/>
              <w:rPr>
                <w:sz w:val="24"/>
              </w:rPr>
            </w:pPr>
            <w:r>
              <w:rPr>
                <w:rFonts w:hint="eastAsia"/>
                <w:sz w:val="24"/>
                <w:szCs w:val="24"/>
                <w:lang w:val="en-US" w:eastAsia="zh-CN"/>
              </w:rPr>
              <w:t>7.</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洛阳市市政设施管理条例》（1999年10月15日通过）第三十五条（三）：“在汛期，对防洪设施管理范围内的阻水设施和违章建（构）建筑物，在限期内不自行拆除的，报市、（县）人民政府批准，由市政设施行政主管部门强行拆除。”</w:t>
            </w:r>
          </w:p>
        </w:tc>
        <w:tc>
          <w:tcPr>
            <w:tcW w:w="1613" w:type="dxa"/>
          </w:tcPr>
          <w:p>
            <w:pPr>
              <w:pStyle w:val="11"/>
              <w:rPr>
                <w:rFonts w:ascii="方正小标宋简体"/>
                <w:sz w:val="24"/>
              </w:rPr>
            </w:pPr>
          </w:p>
          <w:p>
            <w:pPr>
              <w:pStyle w:val="11"/>
              <w:spacing w:before="2"/>
              <w:rPr>
                <w:rFonts w:ascii="方正小标宋简体"/>
                <w:sz w:val="15"/>
              </w:rPr>
            </w:pPr>
          </w:p>
          <w:p>
            <w:pPr>
              <w:pStyle w:val="11"/>
              <w:spacing w:before="1" w:line="280" w:lineRule="auto"/>
              <w:ind w:left="107" w:right="91"/>
              <w:jc w:val="both"/>
              <w:rPr>
                <w:sz w:val="24"/>
              </w:rPr>
            </w:pPr>
            <w:r>
              <w:rPr>
                <w:spacing w:val="11"/>
                <w:sz w:val="24"/>
              </w:rPr>
              <w:t>除处罚决</w:t>
            </w:r>
            <w:r>
              <w:rPr>
                <w:spacing w:val="35"/>
                <w:sz w:val="24"/>
              </w:rPr>
              <w:t>定外其他内</w:t>
            </w:r>
            <w:r>
              <w:rPr>
                <w:spacing w:val="-11"/>
                <w:sz w:val="24"/>
              </w:rPr>
              <w:t>容：长期公开</w:t>
            </w:r>
          </w:p>
          <w:p>
            <w:pPr>
              <w:pStyle w:val="11"/>
              <w:spacing w:before="1" w:line="280" w:lineRule="auto"/>
              <w:ind w:left="107" w:right="91"/>
              <w:rPr>
                <w:sz w:val="24"/>
              </w:rPr>
            </w:pPr>
            <w:r>
              <w:rPr>
                <w:sz w:val="24"/>
              </w:rPr>
              <w:t>（动态调整</w:t>
            </w:r>
            <w:r>
              <w:rPr>
                <w:spacing w:val="-120"/>
                <w:sz w:val="24"/>
              </w:rPr>
              <w:t>）</w:t>
            </w:r>
          </w:p>
        </w:tc>
        <w:tc>
          <w:tcPr>
            <w:tcW w:w="712" w:type="dxa"/>
            <w:vAlign w:val="center"/>
          </w:tcPr>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3"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3"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2"/>
              <w:rPr>
                <w:rFonts w:ascii="方正小标宋简体"/>
                <w:sz w:val="15"/>
              </w:rPr>
            </w:pPr>
          </w:p>
          <w:p>
            <w:pPr>
              <w:pStyle w:val="11"/>
              <w:numPr>
                <w:ilvl w:val="0"/>
                <w:numId w:val="7"/>
              </w:numPr>
              <w:tabs>
                <w:tab w:val="left" w:pos="350"/>
                <w:tab w:val="left" w:pos="2028"/>
              </w:tabs>
              <w:spacing w:before="1"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2"/>
              <w:ind w:left="108"/>
              <w:rPr>
                <w:sz w:val="24"/>
              </w:rPr>
            </w:pPr>
            <w:r>
              <w:rPr>
                <w:sz w:val="24"/>
              </w:rPr>
              <w:t>□两微一端</w:t>
            </w:r>
            <w:r>
              <w:rPr>
                <w:sz w:val="24"/>
              </w:rPr>
              <w:tab/>
            </w:r>
            <w:r>
              <w:rPr>
                <w:sz w:val="24"/>
              </w:rPr>
              <w:t>□发布会/听证会</w:t>
            </w:r>
          </w:p>
          <w:p>
            <w:pPr>
              <w:pStyle w:val="11"/>
              <w:tabs>
                <w:tab w:val="left" w:pos="2028"/>
              </w:tabs>
              <w:spacing w:before="53"/>
              <w:ind w:left="108"/>
              <w:rPr>
                <w:sz w:val="24"/>
              </w:rPr>
            </w:pPr>
            <w:r>
              <w:rPr>
                <w:sz w:val="24"/>
              </w:rPr>
              <w:t>□广播电视</w:t>
            </w:r>
            <w:r>
              <w:rPr>
                <w:sz w:val="24"/>
              </w:rPr>
              <w:tab/>
            </w:r>
            <w:r>
              <w:rPr>
                <w:sz w:val="24"/>
              </w:rPr>
              <w:t>□纸质媒体</w:t>
            </w:r>
          </w:p>
          <w:p>
            <w:pPr>
              <w:pStyle w:val="11"/>
              <w:numPr>
                <w:ilvl w:val="0"/>
                <w:numId w:val="7"/>
              </w:numPr>
              <w:tabs>
                <w:tab w:val="left" w:pos="350"/>
                <w:tab w:val="left" w:pos="2028"/>
              </w:tabs>
              <w:spacing w:before="52"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3"/>
              <w:ind w:left="108"/>
              <w:rPr>
                <w:sz w:val="24"/>
              </w:rPr>
            </w:pPr>
            <w:r>
              <w:rPr>
                <w:sz w:val="24"/>
              </w:rPr>
              <w:t>□便民服务站</w:t>
            </w:r>
            <w:r>
              <w:rPr>
                <w:sz w:val="24"/>
              </w:rPr>
              <w:tab/>
            </w:r>
            <w:r>
              <w:rPr>
                <w:sz w:val="24"/>
              </w:rPr>
              <w:t>□入户/现场</w:t>
            </w:r>
          </w:p>
          <w:p>
            <w:pPr>
              <w:pStyle w:val="11"/>
              <w:spacing w:before="52"/>
              <w:ind w:left="108"/>
              <w:rPr>
                <w:sz w:val="24"/>
              </w:rPr>
            </w:pPr>
            <w:r>
              <w:rPr>
                <w:sz w:val="24"/>
              </w:rPr>
              <w:t>□社区/企事业单位/村公示栏（电子屏）</w:t>
            </w:r>
          </w:p>
          <w:p>
            <w:pPr>
              <w:pStyle w:val="11"/>
              <w:tabs>
                <w:tab w:val="left" w:pos="2028"/>
                <w:tab w:val="left" w:pos="3287"/>
              </w:tabs>
              <w:spacing w:before="53"/>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3"/>
              <w:rPr>
                <w:rFonts w:ascii="方正小标宋简体"/>
                <w:sz w:val="28"/>
              </w:rPr>
            </w:pPr>
          </w:p>
          <w:p>
            <w:pPr>
              <w:pStyle w:val="11"/>
              <w:ind w:left="12"/>
              <w:jc w:val="center"/>
              <w:rPr>
                <w:sz w:val="24"/>
              </w:rPr>
            </w:pPr>
            <w:r>
              <w:rPr>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7" w:hRule="atLeast"/>
        </w:trPr>
        <w:tc>
          <w:tcPr>
            <w:tcW w:w="772" w:type="dxa"/>
            <w:vAlign w:val="center"/>
          </w:tcPr>
          <w:p>
            <w:pPr>
              <w:pStyle w:val="11"/>
              <w:ind w:left="14"/>
              <w:jc w:val="center"/>
              <w:rPr>
                <w:rFonts w:hint="default" w:eastAsia="宋体"/>
                <w:sz w:val="24"/>
                <w:lang w:val="en-US" w:eastAsia="zh-CN"/>
              </w:rPr>
            </w:pPr>
            <w:r>
              <w:rPr>
                <w:rFonts w:hint="eastAsia"/>
                <w:sz w:val="24"/>
                <w:lang w:val="en-US" w:eastAsia="zh-CN"/>
              </w:rPr>
              <w:t>78</w:t>
            </w:r>
          </w:p>
        </w:tc>
        <w:tc>
          <w:tcPr>
            <w:tcW w:w="707" w:type="dxa"/>
            <w:vMerge w:val="continue"/>
            <w:tcBorders>
              <w:top w:val="nil"/>
            </w:tcBorders>
            <w:vAlign w:val="center"/>
          </w:tcPr>
          <w:p>
            <w:pPr>
              <w:jc w:val="center"/>
              <w:rPr>
                <w:sz w:val="2"/>
                <w:szCs w:val="2"/>
              </w:rPr>
            </w:pPr>
          </w:p>
        </w:tc>
        <w:tc>
          <w:tcPr>
            <w:tcW w:w="1668" w:type="dxa"/>
            <w:vAlign w:val="center"/>
          </w:tcPr>
          <w:p>
            <w:pPr>
              <w:pStyle w:val="11"/>
              <w:spacing w:line="280" w:lineRule="auto"/>
              <w:ind w:left="106" w:right="-29"/>
              <w:jc w:val="left"/>
              <w:rPr>
                <w:sz w:val="24"/>
              </w:rPr>
            </w:pPr>
            <w:r>
              <w:rPr>
                <w:rFonts w:hint="eastAsia"/>
                <w:sz w:val="24"/>
              </w:rPr>
              <w:t>违规设置的广告、修建的建（构）筑物等临时设施，在限期内不自行拆除的强制</w:t>
            </w:r>
          </w:p>
        </w:tc>
        <w:tc>
          <w:tcPr>
            <w:tcW w:w="3263" w:type="dxa"/>
          </w:tcPr>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0"/>
                <w:sz w:val="24"/>
                <w:szCs w:val="24"/>
                <w:lang w:val="en-US" w:eastAsia="zh-CN"/>
              </w:rPr>
              <w:t>1.职权编号</w:t>
            </w:r>
            <w:r>
              <w:rPr>
                <w:spacing w:val="-10"/>
                <w:sz w:val="24"/>
                <w:szCs w:val="24"/>
              </w:rPr>
              <w:t>、</w:t>
            </w:r>
            <w:r>
              <w:rPr>
                <w:rFonts w:hint="eastAsia"/>
                <w:spacing w:val="-10"/>
                <w:sz w:val="24"/>
                <w:szCs w:val="24"/>
                <w:lang w:eastAsia="zh-CN"/>
              </w:rPr>
              <w:t>清单事项种类</w:t>
            </w:r>
            <w:r>
              <w:rPr>
                <w:spacing w:val="-10"/>
                <w:sz w:val="24"/>
                <w:szCs w:val="24"/>
              </w:rPr>
              <w:t>、</w:t>
            </w:r>
            <w:r>
              <w:rPr>
                <w:rFonts w:hint="eastAsia"/>
                <w:spacing w:val="-10"/>
                <w:sz w:val="24"/>
                <w:szCs w:val="24"/>
                <w:lang w:eastAsia="zh-CN"/>
              </w:rPr>
              <w:t>职权名称、强制种类</w:t>
            </w:r>
            <w:r>
              <w:rPr>
                <w:rFonts w:hint="eastAsia"/>
                <w:spacing w:val="-10"/>
                <w:sz w:val="24"/>
                <w:szCs w:val="24"/>
                <w:lang w:val="en-US" w:eastAsia="zh-CN"/>
              </w:rPr>
              <w:t>、</w:t>
            </w:r>
            <w:r>
              <w:rPr>
                <w:rFonts w:hint="eastAsia"/>
                <w:spacing w:val="-10"/>
                <w:sz w:val="24"/>
                <w:szCs w:val="24"/>
                <w:lang w:eastAsia="zh-CN"/>
              </w:rPr>
              <w:t>实施主体</w:t>
            </w:r>
            <w:r>
              <w:rPr>
                <w:sz w:val="24"/>
                <w:szCs w:val="24"/>
              </w:rPr>
              <w:t>；</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rFonts w:hint="eastAsia" w:eastAsia="宋体"/>
                <w:sz w:val="24"/>
                <w:szCs w:val="24"/>
                <w:lang w:eastAsia="zh-CN"/>
              </w:rPr>
            </w:pPr>
            <w:r>
              <w:rPr>
                <w:rFonts w:hint="eastAsia"/>
                <w:sz w:val="24"/>
                <w:szCs w:val="24"/>
                <w:lang w:val="en-US" w:eastAsia="zh-CN"/>
              </w:rPr>
              <w:t>2.</w:t>
            </w:r>
            <w:r>
              <w:rPr>
                <w:rFonts w:hint="eastAsia"/>
                <w:sz w:val="24"/>
                <w:szCs w:val="24"/>
                <w:lang w:eastAsia="zh-CN"/>
              </w:rPr>
              <w:t>设立</w:t>
            </w:r>
            <w:r>
              <w:rPr>
                <w:sz w:val="24"/>
                <w:szCs w:val="24"/>
              </w:rPr>
              <w:t>依据</w:t>
            </w:r>
            <w:r>
              <w:rPr>
                <w:rFonts w:hint="eastAsia"/>
                <w:sz w:val="24"/>
                <w:szCs w:val="24"/>
                <w:lang w:eastAsia="zh-CN"/>
              </w:rPr>
              <w:t>；</w:t>
            </w:r>
          </w:p>
          <w:p>
            <w:pPr>
              <w:pStyle w:val="11"/>
              <w:keepNext w:val="0"/>
              <w:keepLines w:val="0"/>
              <w:pageBreakBefore w:val="0"/>
              <w:widowControl w:val="0"/>
              <w:numPr>
                <w:ilvl w:val="0"/>
                <w:numId w:val="0"/>
              </w:numPr>
              <w:tabs>
                <w:tab w:val="left" w:pos="364"/>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pacing w:val="11"/>
                <w:sz w:val="24"/>
                <w:szCs w:val="24"/>
                <w:lang w:val="en-US" w:eastAsia="zh-CN"/>
              </w:rPr>
              <w:t>3.</w:t>
            </w:r>
            <w:r>
              <w:rPr>
                <w:rFonts w:hint="eastAsia"/>
                <w:spacing w:val="11"/>
                <w:sz w:val="24"/>
                <w:szCs w:val="24"/>
                <w:lang w:eastAsia="zh-CN"/>
              </w:rPr>
              <w:t>实施条件及流程；</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4.</w:t>
            </w:r>
            <w:r>
              <w:rPr>
                <w:rFonts w:hint="eastAsia"/>
                <w:sz w:val="24"/>
                <w:szCs w:val="24"/>
                <w:lang w:eastAsia="zh-CN"/>
              </w:rPr>
              <w:t>需要提交的材料；</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5.</w:t>
            </w:r>
            <w:r>
              <w:rPr>
                <w:rFonts w:hint="eastAsia"/>
                <w:sz w:val="24"/>
                <w:szCs w:val="24"/>
                <w:lang w:eastAsia="zh-CN"/>
              </w:rPr>
              <w:t>承办科室（单位）及联系电话；</w:t>
            </w:r>
          </w:p>
          <w:p>
            <w:pPr>
              <w:pStyle w:val="11"/>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0" w:after="0" w:line="320" w:lineRule="exact"/>
              <w:ind w:left="0" w:leftChars="0" w:right="0" w:rightChars="0"/>
              <w:jc w:val="left"/>
              <w:textAlignment w:val="auto"/>
              <w:rPr>
                <w:sz w:val="24"/>
                <w:szCs w:val="24"/>
              </w:rPr>
            </w:pPr>
            <w:r>
              <w:rPr>
                <w:rFonts w:hint="eastAsia"/>
                <w:sz w:val="24"/>
                <w:szCs w:val="24"/>
                <w:lang w:val="en-US" w:eastAsia="zh-CN"/>
              </w:rPr>
              <w:t>6.监督投诉机构及联系电话</w:t>
            </w:r>
            <w:r>
              <w:rPr>
                <w:sz w:val="24"/>
                <w:szCs w:val="24"/>
              </w:rPr>
              <w:t>；</w:t>
            </w:r>
          </w:p>
          <w:p>
            <w:pPr>
              <w:pStyle w:val="11"/>
              <w:numPr>
                <w:ilvl w:val="0"/>
                <w:numId w:val="0"/>
              </w:numPr>
              <w:tabs>
                <w:tab w:val="left" w:pos="348"/>
              </w:tabs>
              <w:spacing w:before="53" w:after="0" w:line="240" w:lineRule="auto"/>
              <w:ind w:right="0" w:rightChars="0"/>
              <w:jc w:val="left"/>
              <w:rPr>
                <w:sz w:val="24"/>
              </w:rPr>
            </w:pPr>
            <w:r>
              <w:rPr>
                <w:rFonts w:hint="eastAsia"/>
                <w:sz w:val="24"/>
                <w:szCs w:val="24"/>
                <w:lang w:val="en-US" w:eastAsia="zh-CN"/>
              </w:rPr>
              <w:t>7.</w:t>
            </w:r>
            <w:r>
              <w:rPr>
                <w:sz w:val="24"/>
                <w:szCs w:val="24"/>
              </w:rPr>
              <w:t>救济渠道。</w:t>
            </w:r>
          </w:p>
        </w:tc>
        <w:tc>
          <w:tcPr>
            <w:tcW w:w="2887" w:type="dxa"/>
          </w:tcPr>
          <w:p>
            <w:pPr>
              <w:pStyle w:val="11"/>
              <w:spacing w:before="1" w:line="280" w:lineRule="auto"/>
              <w:ind w:left="107" w:right="91"/>
              <w:jc w:val="both"/>
              <w:rPr>
                <w:sz w:val="24"/>
              </w:rPr>
            </w:pPr>
            <w:r>
              <w:rPr>
                <w:rFonts w:hint="eastAsia"/>
                <w:sz w:val="21"/>
                <w:szCs w:val="21"/>
              </w:rPr>
              <w:t>《洛阳市市政设施管理条例》（1999年10月15日通过）第三十五条：“对在市政设施管理范围内的下列违法行为，按以下规定处理：（一）违反本条例规定设置的广告、修建的建（构）筑物等临时设施，在期限内不自行拆除的，经市、县（市）人民政府批准，由市政设施行政主管部门组织强行拆除。”</w:t>
            </w:r>
          </w:p>
        </w:tc>
        <w:tc>
          <w:tcPr>
            <w:tcW w:w="1613" w:type="dxa"/>
          </w:tcPr>
          <w:p>
            <w:pPr>
              <w:pStyle w:val="11"/>
              <w:rPr>
                <w:rFonts w:ascii="方正小标宋简体"/>
                <w:sz w:val="24"/>
              </w:rPr>
            </w:pPr>
          </w:p>
          <w:p>
            <w:pPr>
              <w:pStyle w:val="11"/>
              <w:spacing w:before="3"/>
              <w:rPr>
                <w:rFonts w:ascii="方正小标宋简体"/>
                <w:sz w:val="15"/>
              </w:rPr>
            </w:pPr>
          </w:p>
          <w:p>
            <w:pPr>
              <w:pStyle w:val="11"/>
              <w:spacing w:line="280" w:lineRule="auto"/>
              <w:ind w:left="107" w:right="91"/>
              <w:jc w:val="both"/>
              <w:rPr>
                <w:sz w:val="24"/>
              </w:rPr>
            </w:pPr>
            <w:r>
              <w:rPr>
                <w:sz w:val="24"/>
              </w:rPr>
              <w:t>1.</w:t>
            </w:r>
            <w:r>
              <w:rPr>
                <w:spacing w:val="11"/>
                <w:sz w:val="24"/>
              </w:rPr>
              <w:t xml:space="preserve"> 除处罚决</w:t>
            </w:r>
            <w:r>
              <w:rPr>
                <w:spacing w:val="35"/>
                <w:sz w:val="24"/>
              </w:rPr>
              <w:t>定外其他内</w:t>
            </w:r>
            <w:r>
              <w:rPr>
                <w:spacing w:val="-11"/>
                <w:sz w:val="24"/>
              </w:rPr>
              <w:t>容：长期公开</w:t>
            </w:r>
          </w:p>
          <w:p>
            <w:pPr>
              <w:pStyle w:val="11"/>
              <w:spacing w:line="280" w:lineRule="auto"/>
              <w:ind w:left="107" w:right="91"/>
              <w:rPr>
                <w:sz w:val="24"/>
              </w:rPr>
            </w:pPr>
            <w:r>
              <w:rPr>
                <w:sz w:val="24"/>
              </w:rPr>
              <w:t>（动态调整</w:t>
            </w:r>
            <w:r>
              <w:rPr>
                <w:spacing w:val="-120"/>
                <w:sz w:val="24"/>
              </w:rPr>
              <w:t>）</w:t>
            </w:r>
          </w:p>
        </w:tc>
        <w:tc>
          <w:tcPr>
            <w:tcW w:w="712" w:type="dxa"/>
            <w:vAlign w:val="center"/>
          </w:tcPr>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宜阳</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县城</w:t>
            </w:r>
          </w:p>
          <w:p>
            <w:pPr>
              <w:spacing w:before="52" w:line="280" w:lineRule="auto"/>
              <w:ind w:left="0" w:leftChars="0" w:right="0" w:rightChars="0"/>
              <w:jc w:val="center"/>
              <w:rPr>
                <w:rFonts w:hint="eastAsia"/>
                <w:spacing w:val="-9"/>
                <w:sz w:val="24"/>
                <w:lang w:val="en-US" w:eastAsia="zh-CN"/>
              </w:rPr>
            </w:pPr>
            <w:r>
              <w:rPr>
                <w:rFonts w:hint="eastAsia"/>
                <w:spacing w:val="-9"/>
                <w:sz w:val="24"/>
                <w:lang w:val="en-US" w:eastAsia="zh-CN"/>
              </w:rPr>
              <w:t>市管</w:t>
            </w:r>
          </w:p>
          <w:p>
            <w:pPr>
              <w:spacing w:before="52" w:line="280" w:lineRule="auto"/>
              <w:ind w:left="0" w:leftChars="0" w:right="0" w:rightChars="0"/>
              <w:jc w:val="center"/>
              <w:rPr>
                <w:sz w:val="24"/>
              </w:rPr>
            </w:pPr>
            <w:r>
              <w:rPr>
                <w:rFonts w:hint="eastAsia"/>
                <w:spacing w:val="-9"/>
                <w:sz w:val="24"/>
                <w:lang w:val="en-US" w:eastAsia="zh-CN"/>
              </w:rPr>
              <w:t>理局</w:t>
            </w:r>
          </w:p>
        </w:tc>
        <w:tc>
          <w:tcPr>
            <w:tcW w:w="4463" w:type="dxa"/>
          </w:tcPr>
          <w:p>
            <w:pPr>
              <w:pStyle w:val="11"/>
              <w:rPr>
                <w:rFonts w:ascii="方正小标宋简体"/>
                <w:sz w:val="24"/>
              </w:rPr>
            </w:pPr>
          </w:p>
          <w:p>
            <w:pPr>
              <w:pStyle w:val="11"/>
              <w:spacing w:before="3"/>
              <w:rPr>
                <w:rFonts w:ascii="方正小标宋简体"/>
                <w:sz w:val="15"/>
              </w:rPr>
            </w:pPr>
          </w:p>
          <w:p>
            <w:pPr>
              <w:pStyle w:val="11"/>
              <w:numPr>
                <w:ilvl w:val="0"/>
                <w:numId w:val="8"/>
              </w:numPr>
              <w:tabs>
                <w:tab w:val="left" w:pos="350"/>
                <w:tab w:val="left" w:pos="2028"/>
              </w:tabs>
              <w:spacing w:before="0" w:after="0" w:line="240" w:lineRule="auto"/>
              <w:ind w:left="349" w:right="0" w:hanging="242"/>
              <w:jc w:val="left"/>
              <w:rPr>
                <w:sz w:val="24"/>
              </w:rPr>
            </w:pPr>
            <w:r>
              <w:rPr>
                <w:sz w:val="24"/>
              </w:rPr>
              <w:t>政府网站</w:t>
            </w:r>
            <w:r>
              <w:rPr>
                <w:sz w:val="24"/>
              </w:rPr>
              <w:tab/>
            </w:r>
            <w:r>
              <w:rPr>
                <w:sz w:val="24"/>
              </w:rPr>
              <w:t>□政府公报</w:t>
            </w:r>
          </w:p>
          <w:p>
            <w:pPr>
              <w:pStyle w:val="11"/>
              <w:tabs>
                <w:tab w:val="left" w:pos="2028"/>
              </w:tabs>
              <w:spacing w:before="53"/>
              <w:ind w:left="108"/>
              <w:rPr>
                <w:sz w:val="24"/>
              </w:rPr>
            </w:pPr>
            <w:r>
              <w:rPr>
                <w:sz w:val="24"/>
              </w:rPr>
              <w:t>□两微一端</w:t>
            </w:r>
            <w:r>
              <w:rPr>
                <w:sz w:val="24"/>
              </w:rPr>
              <w:tab/>
            </w:r>
            <w:r>
              <w:rPr>
                <w:sz w:val="24"/>
              </w:rPr>
              <w:t>□发布会/听证会</w:t>
            </w:r>
          </w:p>
          <w:p>
            <w:pPr>
              <w:pStyle w:val="11"/>
              <w:tabs>
                <w:tab w:val="left" w:pos="2028"/>
              </w:tabs>
              <w:spacing w:before="52"/>
              <w:ind w:left="108"/>
              <w:rPr>
                <w:sz w:val="24"/>
              </w:rPr>
            </w:pPr>
            <w:r>
              <w:rPr>
                <w:sz w:val="24"/>
              </w:rPr>
              <w:t>□广播电视</w:t>
            </w:r>
            <w:r>
              <w:rPr>
                <w:sz w:val="24"/>
              </w:rPr>
              <w:tab/>
            </w:r>
            <w:r>
              <w:rPr>
                <w:sz w:val="24"/>
              </w:rPr>
              <w:t>□纸质媒体</w:t>
            </w:r>
          </w:p>
          <w:p>
            <w:pPr>
              <w:pStyle w:val="11"/>
              <w:numPr>
                <w:ilvl w:val="0"/>
                <w:numId w:val="8"/>
              </w:numPr>
              <w:tabs>
                <w:tab w:val="left" w:pos="350"/>
                <w:tab w:val="left" w:pos="2028"/>
              </w:tabs>
              <w:spacing w:before="53" w:after="0" w:line="240" w:lineRule="auto"/>
              <w:ind w:left="349" w:right="0" w:hanging="242"/>
              <w:jc w:val="left"/>
              <w:rPr>
                <w:sz w:val="24"/>
              </w:rPr>
            </w:pPr>
            <w:r>
              <w:rPr>
                <w:sz w:val="24"/>
              </w:rPr>
              <w:t>公开查阅点</w:t>
            </w:r>
            <w:r>
              <w:rPr>
                <w:sz w:val="24"/>
              </w:rPr>
              <w:tab/>
            </w:r>
            <w:r>
              <w:rPr>
                <w:sz w:val="24"/>
              </w:rPr>
              <w:t>□政务服务中心</w:t>
            </w:r>
          </w:p>
          <w:p>
            <w:pPr>
              <w:pStyle w:val="11"/>
              <w:tabs>
                <w:tab w:val="left" w:pos="2028"/>
              </w:tabs>
              <w:spacing w:before="52"/>
              <w:ind w:left="108"/>
              <w:rPr>
                <w:sz w:val="24"/>
              </w:rPr>
            </w:pPr>
            <w:r>
              <w:rPr>
                <w:sz w:val="24"/>
              </w:rPr>
              <w:t>□便民服务站</w:t>
            </w:r>
            <w:r>
              <w:rPr>
                <w:sz w:val="24"/>
              </w:rPr>
              <w:tab/>
            </w:r>
            <w:r>
              <w:rPr>
                <w:sz w:val="24"/>
              </w:rPr>
              <w:t>□入户/现场</w:t>
            </w:r>
          </w:p>
          <w:p>
            <w:pPr>
              <w:pStyle w:val="11"/>
              <w:spacing w:before="53"/>
              <w:ind w:left="108"/>
              <w:rPr>
                <w:sz w:val="24"/>
              </w:rPr>
            </w:pPr>
            <w:r>
              <w:rPr>
                <w:sz w:val="24"/>
              </w:rPr>
              <w:t>□社区/企事业单位/村公示栏（电子屏）</w:t>
            </w:r>
          </w:p>
          <w:p>
            <w:pPr>
              <w:pStyle w:val="11"/>
              <w:tabs>
                <w:tab w:val="left" w:pos="2028"/>
                <w:tab w:val="left" w:pos="3287"/>
              </w:tabs>
              <w:spacing w:before="52"/>
              <w:ind w:left="108"/>
              <w:rPr>
                <w:rFonts w:ascii="Times New Roman" w:hAnsi="Times New Roman" w:eastAsia="Times New Roman"/>
                <w:sz w:val="24"/>
              </w:rPr>
            </w:pPr>
            <w:r>
              <w:rPr>
                <w:sz w:val="24"/>
              </w:rPr>
              <w:t>□精准推送</w:t>
            </w:r>
            <w:r>
              <w:rPr>
                <w:sz w:val="24"/>
              </w:rPr>
              <w:tab/>
            </w:r>
            <w:r>
              <w:rPr>
                <w:spacing w:val="-1"/>
                <w:sz w:val="24"/>
              </w:rPr>
              <w:t>□</w:t>
            </w:r>
            <w:r>
              <w:rPr>
                <w:sz w:val="24"/>
              </w:rPr>
              <w:t>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5"/>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1"/>
              <w:jc w:val="center"/>
              <w:rPr>
                <w:sz w:val="24"/>
              </w:rPr>
            </w:pPr>
            <w:r>
              <w:rPr>
                <w:sz w:val="24"/>
              </w:rPr>
              <w:t>√</w:t>
            </w:r>
          </w:p>
        </w:tc>
        <w:tc>
          <w:tcPr>
            <w:tcW w:w="775" w:type="dxa"/>
          </w:tcPr>
          <w:p>
            <w:pPr>
              <w:pStyle w:val="11"/>
              <w:rPr>
                <w:rFonts w:ascii="Times New Roman"/>
                <w:sz w:val="24"/>
              </w:rPr>
            </w:pP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c>
          <w:tcPr>
            <w:tcW w:w="775" w:type="dxa"/>
          </w:tcPr>
          <w:p>
            <w:pPr>
              <w:pStyle w:val="11"/>
              <w:rPr>
                <w:rFonts w:ascii="方正小标宋简体"/>
                <w:sz w:val="24"/>
              </w:rPr>
            </w:pPr>
          </w:p>
          <w:p>
            <w:pPr>
              <w:pStyle w:val="11"/>
              <w:rPr>
                <w:rFonts w:ascii="方正小标宋简体"/>
                <w:sz w:val="24"/>
              </w:rPr>
            </w:pPr>
          </w:p>
          <w:p>
            <w:pPr>
              <w:pStyle w:val="11"/>
              <w:rPr>
                <w:rFonts w:ascii="方正小标宋简体"/>
                <w:sz w:val="24"/>
              </w:rPr>
            </w:pPr>
          </w:p>
          <w:p>
            <w:pPr>
              <w:pStyle w:val="11"/>
              <w:spacing w:before="4"/>
              <w:rPr>
                <w:rFonts w:ascii="方正小标宋简体"/>
                <w:sz w:val="28"/>
              </w:rPr>
            </w:pPr>
          </w:p>
          <w:p>
            <w:pPr>
              <w:pStyle w:val="11"/>
              <w:ind w:left="12"/>
              <w:jc w:val="center"/>
              <w:rPr>
                <w:sz w:val="24"/>
              </w:rPr>
            </w:pPr>
            <w:r>
              <w:rPr>
                <w:sz w:val="24"/>
              </w:rPr>
              <w:t>√</w:t>
            </w:r>
          </w:p>
        </w:tc>
      </w:tr>
    </w:tbl>
    <w:p/>
    <w:p/>
    <w:p>
      <w:bookmarkStart w:id="0" w:name="_GoBack"/>
      <w:bookmarkEnd w:id="0"/>
    </w:p>
    <w:sectPr>
      <w:pgSz w:w="23760" w:h="16790" w:orient="landscape"/>
      <w:pgMar w:top="1440" w:right="11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1">
    <w:nsid w:val="BF205925"/>
    <w:multiLevelType w:val="multilevel"/>
    <w:tmpl w:val="BF205925"/>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2">
    <w:nsid w:val="CF092B84"/>
    <w:multiLevelType w:val="multilevel"/>
    <w:tmpl w:val="CF092B84"/>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3">
    <w:nsid w:val="03D62ECE"/>
    <w:multiLevelType w:val="multilevel"/>
    <w:tmpl w:val="03D62EC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4">
    <w:nsid w:val="0E640482"/>
    <w:multiLevelType w:val="multilevel"/>
    <w:tmpl w:val="0E640482"/>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5">
    <w:nsid w:val="39A0D9AC"/>
    <w:multiLevelType w:val="multilevel"/>
    <w:tmpl w:val="39A0D9AC"/>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6">
    <w:nsid w:val="629F7852"/>
    <w:multiLevelType w:val="multilevel"/>
    <w:tmpl w:val="629F7852"/>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abstractNum w:abstractNumId="7">
    <w:nsid w:val="77ECEA79"/>
    <w:multiLevelType w:val="multilevel"/>
    <w:tmpl w:val="77ECEA79"/>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0" w:hanging="241"/>
      </w:pPr>
      <w:rPr>
        <w:rFonts w:hint="default"/>
        <w:lang w:val="zh-CN" w:eastAsia="zh-CN" w:bidi="zh-CN"/>
      </w:rPr>
    </w:lvl>
    <w:lvl w:ilvl="2" w:tentative="0">
      <w:start w:val="0"/>
      <w:numFmt w:val="bullet"/>
      <w:lvlText w:val="•"/>
      <w:lvlJc w:val="left"/>
      <w:pPr>
        <w:ind w:left="1161" w:hanging="241"/>
      </w:pPr>
      <w:rPr>
        <w:rFonts w:hint="default"/>
        <w:lang w:val="zh-CN" w:eastAsia="zh-CN" w:bidi="zh-CN"/>
      </w:rPr>
    </w:lvl>
    <w:lvl w:ilvl="3" w:tentative="0">
      <w:start w:val="0"/>
      <w:numFmt w:val="bullet"/>
      <w:lvlText w:val="•"/>
      <w:lvlJc w:val="left"/>
      <w:pPr>
        <w:ind w:left="1572" w:hanging="241"/>
      </w:pPr>
      <w:rPr>
        <w:rFonts w:hint="default"/>
        <w:lang w:val="zh-CN" w:eastAsia="zh-CN" w:bidi="zh-CN"/>
      </w:rPr>
    </w:lvl>
    <w:lvl w:ilvl="4" w:tentative="0">
      <w:start w:val="0"/>
      <w:numFmt w:val="bullet"/>
      <w:lvlText w:val="•"/>
      <w:lvlJc w:val="left"/>
      <w:pPr>
        <w:ind w:left="1983" w:hanging="241"/>
      </w:pPr>
      <w:rPr>
        <w:rFonts w:hint="default"/>
        <w:lang w:val="zh-CN" w:eastAsia="zh-CN" w:bidi="zh-CN"/>
      </w:rPr>
    </w:lvl>
    <w:lvl w:ilvl="5" w:tentative="0">
      <w:start w:val="0"/>
      <w:numFmt w:val="bullet"/>
      <w:lvlText w:val="•"/>
      <w:lvlJc w:val="left"/>
      <w:pPr>
        <w:ind w:left="2394" w:hanging="241"/>
      </w:pPr>
      <w:rPr>
        <w:rFonts w:hint="default"/>
        <w:lang w:val="zh-CN" w:eastAsia="zh-CN" w:bidi="zh-CN"/>
      </w:rPr>
    </w:lvl>
    <w:lvl w:ilvl="6" w:tentative="0">
      <w:start w:val="0"/>
      <w:numFmt w:val="bullet"/>
      <w:lvlText w:val="•"/>
      <w:lvlJc w:val="left"/>
      <w:pPr>
        <w:ind w:left="2804" w:hanging="241"/>
      </w:pPr>
      <w:rPr>
        <w:rFonts w:hint="default"/>
        <w:lang w:val="zh-CN" w:eastAsia="zh-CN" w:bidi="zh-CN"/>
      </w:rPr>
    </w:lvl>
    <w:lvl w:ilvl="7" w:tentative="0">
      <w:start w:val="0"/>
      <w:numFmt w:val="bullet"/>
      <w:lvlText w:val="•"/>
      <w:lvlJc w:val="left"/>
      <w:pPr>
        <w:ind w:left="3215" w:hanging="241"/>
      </w:pPr>
      <w:rPr>
        <w:rFonts w:hint="default"/>
        <w:lang w:val="zh-CN" w:eastAsia="zh-CN" w:bidi="zh-CN"/>
      </w:rPr>
    </w:lvl>
    <w:lvl w:ilvl="8" w:tentative="0">
      <w:start w:val="0"/>
      <w:numFmt w:val="bullet"/>
      <w:lvlText w:val="•"/>
      <w:lvlJc w:val="left"/>
      <w:pPr>
        <w:ind w:left="3626" w:hanging="241"/>
      </w:pPr>
      <w:rPr>
        <w:rFonts w:hint="default"/>
        <w:lang w:val="zh-CN" w:eastAsia="zh-CN" w:bidi="zh-CN"/>
      </w:r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0AE0"/>
    <w:rsid w:val="02404DC0"/>
    <w:rsid w:val="049F0BAA"/>
    <w:rsid w:val="0A2B58E4"/>
    <w:rsid w:val="0B200409"/>
    <w:rsid w:val="0CC87782"/>
    <w:rsid w:val="0EC76A1E"/>
    <w:rsid w:val="159D37B6"/>
    <w:rsid w:val="169C4467"/>
    <w:rsid w:val="16F57ED4"/>
    <w:rsid w:val="17BC315D"/>
    <w:rsid w:val="1B326603"/>
    <w:rsid w:val="1B7F7A84"/>
    <w:rsid w:val="1C1B7367"/>
    <w:rsid w:val="1D6B1932"/>
    <w:rsid w:val="1E37244B"/>
    <w:rsid w:val="235C774D"/>
    <w:rsid w:val="24A46FA9"/>
    <w:rsid w:val="250F78AD"/>
    <w:rsid w:val="296F1A94"/>
    <w:rsid w:val="29F3733E"/>
    <w:rsid w:val="2ACD6F2E"/>
    <w:rsid w:val="2BEB3AF7"/>
    <w:rsid w:val="2C1E7377"/>
    <w:rsid w:val="2F415C6E"/>
    <w:rsid w:val="319C005E"/>
    <w:rsid w:val="32D5072E"/>
    <w:rsid w:val="33055133"/>
    <w:rsid w:val="34BB5712"/>
    <w:rsid w:val="3A592525"/>
    <w:rsid w:val="3AAA0E48"/>
    <w:rsid w:val="3BF0726F"/>
    <w:rsid w:val="3E0D6936"/>
    <w:rsid w:val="41A05C44"/>
    <w:rsid w:val="43787766"/>
    <w:rsid w:val="44256C45"/>
    <w:rsid w:val="45344E59"/>
    <w:rsid w:val="462B7CD1"/>
    <w:rsid w:val="49132171"/>
    <w:rsid w:val="49812334"/>
    <w:rsid w:val="4C2B48F5"/>
    <w:rsid w:val="4F4335DA"/>
    <w:rsid w:val="4F5B0255"/>
    <w:rsid w:val="51691BF6"/>
    <w:rsid w:val="51AA3013"/>
    <w:rsid w:val="53577678"/>
    <w:rsid w:val="54EA0B33"/>
    <w:rsid w:val="567A0B86"/>
    <w:rsid w:val="57C928D4"/>
    <w:rsid w:val="580C4957"/>
    <w:rsid w:val="583B61DB"/>
    <w:rsid w:val="59191171"/>
    <w:rsid w:val="595A5DD3"/>
    <w:rsid w:val="5BCB0A77"/>
    <w:rsid w:val="5E2C4843"/>
    <w:rsid w:val="5FFC2344"/>
    <w:rsid w:val="603A5176"/>
    <w:rsid w:val="61CB0291"/>
    <w:rsid w:val="61E0020C"/>
    <w:rsid w:val="62362516"/>
    <w:rsid w:val="66834BF0"/>
    <w:rsid w:val="66D21EDF"/>
    <w:rsid w:val="692D132C"/>
    <w:rsid w:val="695B6992"/>
    <w:rsid w:val="6C1223BB"/>
    <w:rsid w:val="6C413509"/>
    <w:rsid w:val="74763FAF"/>
    <w:rsid w:val="758B2546"/>
    <w:rsid w:val="78E343D6"/>
    <w:rsid w:val="791A5598"/>
    <w:rsid w:val="7A825169"/>
    <w:rsid w:val="7AD77D6E"/>
    <w:rsid w:val="7BCE5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character" w:styleId="5">
    <w:name w:val="Strong"/>
    <w:basedOn w:val="4"/>
    <w:qFormat/>
    <w:uiPriority w:val="0"/>
    <w:rPr>
      <w:b/>
      <w:vanish/>
    </w:rPr>
  </w:style>
  <w:style w:type="character" w:styleId="6">
    <w:name w:val="FollowedHyperlink"/>
    <w:basedOn w:val="4"/>
    <w:qFormat/>
    <w:uiPriority w:val="0"/>
    <w:rPr>
      <w:color w:val="666666"/>
      <w:u w:val="none"/>
    </w:rPr>
  </w:style>
  <w:style w:type="character" w:styleId="7">
    <w:name w:val="Emphasis"/>
    <w:basedOn w:val="4"/>
    <w:qFormat/>
    <w:uiPriority w:val="0"/>
    <w:rPr>
      <w:rFonts w:ascii="Helvetica" w:hAnsi="Helvetica" w:eastAsia="Helvetica" w:cs="Helvetica"/>
      <w:color w:val="333333"/>
      <w:sz w:val="21"/>
      <w:szCs w:val="21"/>
      <w:bdr w:val="single" w:color="999999" w:sz="6" w:space="0"/>
      <w:shd w:val="clear" w:fill="FFFFFF"/>
    </w:rPr>
  </w:style>
  <w:style w:type="character" w:styleId="8">
    <w:name w:val="Hyperlink"/>
    <w:basedOn w:val="4"/>
    <w:qFormat/>
    <w:uiPriority w:val="0"/>
    <w:rPr>
      <w:color w:val="666666"/>
      <w:u w:val="non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2020-11-25T01:41:00Z</dcterms:created>
  <dc:creator>Lenovo</dc:creator>
  <cp:lastModifiedBy>宜阳县城市管理局</cp:lastModifiedBy>
  <dcterms:modified xsi:type="dcterms:W3CDTF">2020-12-18T09:51:39Z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WPS 文字</vt:lpwstr>
  </property>
  <property fmtid="{D5CDD505-2E9C-101B-9397-08002B2CF9AE}" pid="4" name="LastSaved">
    <vt:filetime>2020-11-25T00:00:00Z</vt:filetime>
  </property>
  <property fmtid="{D5CDD505-2E9C-101B-9397-08002B2CF9AE}" pid="5" name="KSOProductBuildVer">
    <vt:lpwstr>2052-11.1.0.9513</vt:lpwstr>
  </property>
</Properties>
</file>