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0EC5" w:rsidRPr="00317E19" w:rsidRDefault="00AE4278">
      <w:pPr>
        <w:pStyle w:val="2"/>
        <w:spacing w:line="240" w:lineRule="auto"/>
        <w:ind w:firstLineChars="0" w:firstLine="0"/>
        <w:jc w:val="center"/>
        <w:rPr>
          <w:rFonts w:ascii="Times New Roman" w:hAnsi="Times New Roman" w:cs="Times New Roman"/>
        </w:rPr>
      </w:pPr>
      <w:r w:rsidRPr="00317E19">
        <w:rPr>
          <w:rFonts w:ascii="Times New Roman" w:hAnsi="黑体" w:cs="Times New Roman"/>
        </w:rPr>
        <w:t>产废单位</w:t>
      </w:r>
      <w:r w:rsidRPr="00317E19">
        <w:rPr>
          <w:rFonts w:ascii="Times New Roman" w:hAnsi="Times New Roman" w:cs="Times New Roman"/>
        </w:rPr>
        <w:t>2023</w:t>
      </w:r>
      <w:r w:rsidRPr="00317E19">
        <w:rPr>
          <w:rFonts w:ascii="Times New Roman" w:hAnsi="黑体" w:cs="Times New Roman"/>
        </w:rPr>
        <w:t>年度危废年报填报</w:t>
      </w:r>
    </w:p>
    <w:p w:rsidR="00F40EC5" w:rsidRPr="00317E19" w:rsidRDefault="00AE4278">
      <w:pPr>
        <w:pStyle w:val="2"/>
        <w:spacing w:line="240" w:lineRule="auto"/>
        <w:ind w:firstLineChars="0" w:firstLine="0"/>
        <w:jc w:val="center"/>
        <w:rPr>
          <w:rFonts w:ascii="Times New Roman" w:hAnsi="Times New Roman" w:cs="Times New Roman"/>
        </w:rPr>
      </w:pPr>
      <w:r w:rsidRPr="00317E19">
        <w:rPr>
          <w:rFonts w:ascii="Times New Roman" w:hAnsi="黑体" w:cs="Times New Roman"/>
        </w:rPr>
        <w:t>操作说明</w:t>
      </w:r>
    </w:p>
    <w:p w:rsidR="00F40EC5" w:rsidRDefault="00AE4278">
      <w:pPr>
        <w:pStyle w:val="4"/>
        <w:numPr>
          <w:ilvl w:val="0"/>
          <w:numId w:val="1"/>
        </w:numPr>
      </w:pPr>
      <w:r>
        <w:rPr>
          <w:rFonts w:hint="eastAsia"/>
        </w:rPr>
        <w:t>填报单位</w:t>
      </w:r>
    </w:p>
    <w:p w:rsidR="00F40EC5" w:rsidRDefault="00AE4278">
      <w:pPr>
        <w:ind w:firstLineChars="0" w:firstLine="0"/>
        <w:rPr>
          <w:rFonts w:ascii="仿宋_GB2312" w:eastAsia="仿宋_GB2312" w:hAnsi="仿宋_GB2312" w:cs="仿宋_GB2312"/>
        </w:rPr>
      </w:pPr>
      <w:r>
        <w:rPr>
          <w:rFonts w:ascii="仿宋_GB2312" w:eastAsia="仿宋_GB2312" w:hAnsi="仿宋_GB2312" w:cs="仿宋_GB2312" w:hint="eastAsia"/>
        </w:rPr>
        <w:t>全省所有纳入全国固体废物管理信息系统的危险废物产生单位。</w:t>
      </w:r>
    </w:p>
    <w:p w:rsidR="00F40EC5" w:rsidRDefault="00AE4278">
      <w:pPr>
        <w:pStyle w:val="4"/>
        <w:numPr>
          <w:ilvl w:val="0"/>
          <w:numId w:val="1"/>
        </w:numPr>
      </w:pPr>
      <w:r>
        <w:rPr>
          <w:rFonts w:hint="eastAsia"/>
        </w:rPr>
        <w:t>填报前必备条件</w:t>
      </w:r>
    </w:p>
    <w:p w:rsidR="00F40EC5" w:rsidRDefault="00AE4278">
      <w:pPr>
        <w:numPr>
          <w:ilvl w:val="0"/>
          <w:numId w:val="2"/>
        </w:numPr>
        <w:ind w:firstLineChars="0" w:firstLine="0"/>
        <w:rPr>
          <w:rFonts w:ascii="仿宋_GB2312" w:eastAsia="仿宋_GB2312" w:hAnsi="仿宋_GB2312" w:cs="仿宋_GB2312"/>
        </w:rPr>
      </w:pPr>
      <w:r>
        <w:rPr>
          <w:rFonts w:ascii="仿宋_GB2312" w:eastAsia="仿宋_GB2312" w:hAnsi="仿宋_GB2312" w:cs="仿宋_GB2312" w:hint="eastAsia"/>
        </w:rPr>
        <w:t>企业基本信息，审核通过并上报国家成功。。</w:t>
      </w:r>
    </w:p>
    <w:p w:rsidR="00F40EC5" w:rsidRDefault="00AE4278">
      <w:pPr>
        <w:numPr>
          <w:ilvl w:val="0"/>
          <w:numId w:val="2"/>
        </w:numPr>
        <w:ind w:firstLineChars="0" w:firstLine="0"/>
        <w:rPr>
          <w:rFonts w:ascii="仿宋_GB2312" w:eastAsia="仿宋_GB2312" w:hAnsi="仿宋_GB2312" w:cs="仿宋_GB2312"/>
        </w:rPr>
      </w:pPr>
      <w:r>
        <w:rPr>
          <w:rFonts w:ascii="仿宋_GB2312" w:eastAsia="仿宋_GB2312" w:hAnsi="仿宋_GB2312" w:cs="仿宋_GB2312" w:hint="eastAsia"/>
        </w:rPr>
        <w:t>2023</w:t>
      </w:r>
      <w:r>
        <w:rPr>
          <w:rFonts w:ascii="仿宋_GB2312" w:eastAsia="仿宋_GB2312" w:hAnsi="仿宋_GB2312" w:cs="仿宋_GB2312" w:hint="eastAsia"/>
        </w:rPr>
        <w:t>年管理计划，审核通过并上报国家成功。</w:t>
      </w:r>
    </w:p>
    <w:p w:rsidR="00F40EC5" w:rsidRDefault="00AE4278">
      <w:pPr>
        <w:numPr>
          <w:ilvl w:val="0"/>
          <w:numId w:val="2"/>
        </w:numPr>
        <w:ind w:firstLineChars="0" w:firstLine="0"/>
        <w:rPr>
          <w:rFonts w:ascii="仿宋_GB2312" w:eastAsia="仿宋_GB2312" w:hAnsi="仿宋_GB2312" w:cs="仿宋_GB2312"/>
        </w:rPr>
      </w:pPr>
      <w:r>
        <w:rPr>
          <w:rFonts w:ascii="仿宋_GB2312" w:eastAsia="仿宋_GB2312" w:hAnsi="仿宋_GB2312" w:cs="仿宋_GB2312" w:hint="eastAsia"/>
        </w:rPr>
        <w:t>在菜单“产生危废设施信息、贮存设施信息、利用</w:t>
      </w:r>
      <w:r>
        <w:rPr>
          <w:rFonts w:ascii="仿宋_GB2312" w:eastAsia="仿宋_GB2312" w:hAnsi="仿宋_GB2312" w:cs="仿宋_GB2312" w:hint="eastAsia"/>
        </w:rPr>
        <w:t>/</w:t>
      </w:r>
      <w:r>
        <w:rPr>
          <w:rFonts w:ascii="仿宋_GB2312" w:eastAsia="仿宋_GB2312" w:hAnsi="仿宋_GB2312" w:cs="仿宋_GB2312" w:hint="eastAsia"/>
        </w:rPr>
        <w:t>处置设施信息”中添加本单位使用的设施信息，设施信息状态正常，信息完整有编号。</w:t>
      </w:r>
    </w:p>
    <w:p w:rsidR="00F40EC5" w:rsidRDefault="00AE4278">
      <w:pPr>
        <w:pStyle w:val="4"/>
        <w:numPr>
          <w:ilvl w:val="0"/>
          <w:numId w:val="1"/>
        </w:numPr>
      </w:pPr>
      <w:r>
        <w:rPr>
          <w:rFonts w:hint="eastAsia"/>
        </w:rPr>
        <w:t>操作流程</w:t>
      </w:r>
    </w:p>
    <w:p w:rsidR="00F40EC5" w:rsidRDefault="00AE4278">
      <w:pPr>
        <w:ind w:firstLineChars="0" w:firstLine="0"/>
        <w:rPr>
          <w:rFonts w:ascii="仿宋_GB2312" w:eastAsia="仿宋_GB2312" w:hAnsi="仿宋_GB2312" w:cs="仿宋_GB2312"/>
        </w:rPr>
      </w:pPr>
      <w:r>
        <w:rPr>
          <w:rFonts w:ascii="仿宋_GB2312" w:eastAsia="仿宋_GB2312" w:hAnsi="仿宋_GB2312" w:cs="仿宋_GB2312" w:hint="eastAsia"/>
        </w:rPr>
        <w:t>符合“填报前必备条件”后，即可开始填报年报：</w:t>
      </w:r>
    </w:p>
    <w:p w:rsidR="00F40EC5" w:rsidRDefault="00AE4278">
      <w:pPr>
        <w:numPr>
          <w:ilvl w:val="0"/>
          <w:numId w:val="3"/>
        </w:numPr>
        <w:ind w:firstLineChars="0" w:firstLine="0"/>
        <w:rPr>
          <w:rFonts w:ascii="仿宋_GB2312" w:eastAsia="仿宋_GB2312" w:hAnsi="仿宋_GB2312" w:cs="仿宋_GB2312"/>
        </w:rPr>
      </w:pPr>
      <w:r>
        <w:rPr>
          <w:rFonts w:ascii="仿宋_GB2312" w:eastAsia="仿宋_GB2312" w:hAnsi="仿宋_GB2312" w:cs="仿宋_GB2312" w:hint="eastAsia"/>
        </w:rPr>
        <w:t>在全国</w:t>
      </w:r>
      <w:bookmarkStart w:id="0" w:name="_GoBack"/>
      <w:bookmarkEnd w:id="0"/>
      <w:r>
        <w:rPr>
          <w:rFonts w:ascii="仿宋_GB2312" w:eastAsia="仿宋_GB2312" w:hAnsi="仿宋_GB2312" w:cs="仿宋_GB2312" w:hint="eastAsia"/>
        </w:rPr>
        <w:t>固体废物管理信息系统统一登录门户（</w:t>
      </w:r>
      <w:r>
        <w:rPr>
          <w:rFonts w:ascii="Times New Roman" w:eastAsia="仿宋_GB2312" w:hAnsi="Times New Roman"/>
          <w:sz w:val="32"/>
          <w:szCs w:val="32"/>
        </w:rPr>
        <w:t>https://gfmh.meescc.cn/</w:t>
      </w:r>
      <w:r>
        <w:rPr>
          <w:rFonts w:ascii="仿宋_GB2312" w:eastAsia="仿宋_GB2312" w:hAnsi="仿宋_GB2312" w:cs="仿宋_GB2312" w:hint="eastAsia"/>
        </w:rPr>
        <w:t>），输入用户名密码登入系统（密码忘记的可联系当地生态环境部门重置密码）；</w:t>
      </w:r>
    </w:p>
    <w:p w:rsidR="00F40EC5" w:rsidRDefault="00AE4278">
      <w:pPr>
        <w:numPr>
          <w:ilvl w:val="0"/>
          <w:numId w:val="3"/>
        </w:numPr>
        <w:ind w:firstLineChars="0" w:firstLine="0"/>
        <w:rPr>
          <w:rFonts w:ascii="仿宋_GB2312" w:eastAsia="仿宋_GB2312" w:hAnsi="仿宋_GB2312" w:cs="仿宋_GB2312"/>
        </w:rPr>
      </w:pPr>
      <w:r>
        <w:rPr>
          <w:rFonts w:ascii="仿宋_GB2312" w:eastAsia="仿宋_GB2312" w:hAnsi="仿宋_GB2312" w:cs="仿宋_GB2312" w:hint="eastAsia"/>
        </w:rPr>
        <w:t>点击菜单“年报</w:t>
      </w:r>
      <w:r>
        <w:rPr>
          <w:rFonts w:ascii="仿宋_GB2312" w:eastAsia="仿宋_GB2312" w:hAnsi="仿宋_GB2312" w:cs="仿宋_GB2312" w:hint="eastAsia"/>
        </w:rPr>
        <w:t>-</w:t>
      </w:r>
      <w:r>
        <w:rPr>
          <w:rFonts w:ascii="仿宋_GB2312" w:eastAsia="仿宋_GB2312" w:hAnsi="仿宋_GB2312" w:cs="仿宋_GB2312" w:hint="eastAsia"/>
        </w:rPr>
        <w:t>手动填报”，进入年报列表；</w:t>
      </w:r>
    </w:p>
    <w:p w:rsidR="00F40EC5" w:rsidRDefault="00AE4278">
      <w:pPr>
        <w:numPr>
          <w:ilvl w:val="0"/>
          <w:numId w:val="3"/>
        </w:numPr>
        <w:ind w:firstLineChars="0" w:firstLine="0"/>
        <w:rPr>
          <w:rFonts w:ascii="仿宋_GB2312" w:eastAsia="仿宋_GB2312" w:hAnsi="仿宋_GB2312" w:cs="仿宋_GB2312"/>
        </w:rPr>
      </w:pPr>
      <w:r>
        <w:rPr>
          <w:rFonts w:ascii="仿宋_GB2312" w:eastAsia="仿宋_GB2312" w:hAnsi="仿宋_GB2312" w:cs="仿宋_GB2312" w:hint="eastAsia"/>
        </w:rPr>
        <w:t>选择列表中</w:t>
      </w:r>
      <w:r>
        <w:rPr>
          <w:rFonts w:ascii="仿宋_GB2312" w:eastAsia="仿宋_GB2312" w:hAnsi="仿宋_GB2312" w:cs="仿宋_GB2312" w:hint="eastAsia"/>
        </w:rPr>
        <w:t>2023</w:t>
      </w:r>
      <w:r>
        <w:rPr>
          <w:rFonts w:ascii="仿宋_GB2312" w:eastAsia="仿宋_GB2312" w:hAnsi="仿宋_GB2312" w:cs="仿宋_GB2312" w:hint="eastAsia"/>
        </w:rPr>
        <w:t>年度年报，点击“编辑”，进入填报页面；</w:t>
      </w:r>
    </w:p>
    <w:p w:rsidR="00F40EC5" w:rsidRDefault="00AE4278">
      <w:pPr>
        <w:numPr>
          <w:ilvl w:val="0"/>
          <w:numId w:val="3"/>
        </w:numPr>
        <w:ind w:firstLineChars="0" w:firstLine="0"/>
        <w:rPr>
          <w:rFonts w:ascii="仿宋_GB2312" w:eastAsia="仿宋_GB2312" w:hAnsi="仿宋_GB2312" w:cs="仿宋_GB2312"/>
        </w:rPr>
      </w:pPr>
      <w:r>
        <w:rPr>
          <w:rFonts w:ascii="仿宋_GB2312" w:eastAsia="仿宋_GB2312" w:hAnsi="仿宋_GB2312" w:cs="仿宋_GB2312" w:hint="eastAsia"/>
        </w:rPr>
        <w:t>填报产生源年报时，需根据本单位</w:t>
      </w:r>
      <w:r>
        <w:rPr>
          <w:rFonts w:ascii="仿宋_GB2312" w:eastAsia="仿宋_GB2312" w:hAnsi="仿宋_GB2312" w:cs="仿宋_GB2312" w:hint="eastAsia"/>
        </w:rPr>
        <w:t>2023</w:t>
      </w:r>
      <w:r>
        <w:rPr>
          <w:rFonts w:ascii="仿宋_GB2312" w:eastAsia="仿宋_GB2312" w:hAnsi="仿宋_GB2312" w:cs="仿宋_GB2312" w:hint="eastAsia"/>
        </w:rPr>
        <w:t>年实际产生、贮存、转移情况填报；</w:t>
      </w:r>
    </w:p>
    <w:p w:rsidR="00F40EC5" w:rsidRDefault="00AE4278">
      <w:pPr>
        <w:numPr>
          <w:ilvl w:val="0"/>
          <w:numId w:val="3"/>
        </w:numPr>
        <w:ind w:firstLineChars="0" w:firstLine="0"/>
        <w:rPr>
          <w:rFonts w:ascii="仿宋_GB2312" w:eastAsia="仿宋_GB2312" w:hAnsi="仿宋_GB2312" w:cs="仿宋_GB2312"/>
        </w:rPr>
      </w:pPr>
      <w:r>
        <w:rPr>
          <w:rFonts w:ascii="仿宋_GB2312" w:eastAsia="仿宋_GB2312" w:hAnsi="仿宋_GB2312" w:cs="仿宋_GB2312" w:hint="eastAsia"/>
        </w:rPr>
        <w:t>填写完成后点击“保存”，返回年报列表，点击“上报”，此时状态由“未上报”变为“待审核”。由相应生态环境部门审核，“审核不通过”的企业需根据审核意见对所填报的年报进行修改，再次上报。</w:t>
      </w:r>
    </w:p>
    <w:p w:rsidR="00F40EC5" w:rsidRDefault="00AE4278">
      <w:pPr>
        <w:numPr>
          <w:ilvl w:val="0"/>
          <w:numId w:val="3"/>
        </w:numPr>
        <w:ind w:firstLineChars="0" w:firstLine="0"/>
      </w:pPr>
      <w:r>
        <w:rPr>
          <w:rFonts w:ascii="仿宋_GB2312" w:eastAsia="仿宋_GB2312" w:hAnsi="仿宋_GB2312" w:cs="仿宋_GB2312" w:hint="eastAsia"/>
        </w:rPr>
        <w:lastRenderedPageBreak/>
        <w:t>状态为“审核通过”但国家上报状态为“上报失败”的，需根据界面上显示的失败原因对年报</w:t>
      </w:r>
      <w:r>
        <w:rPr>
          <w:rFonts w:ascii="仿宋_GB2312" w:eastAsia="仿宋_GB2312" w:hAnsi="仿宋_GB2312" w:cs="仿宋_GB2312" w:hint="eastAsia"/>
        </w:rPr>
        <w:t>进行调整后，再次上报审核；状态为“审核通过”且“上报成功”的，即完成年报填报工作。</w:t>
      </w:r>
    </w:p>
    <w:p w:rsidR="00F40EC5" w:rsidRDefault="00AE4278">
      <w:pPr>
        <w:pStyle w:val="4"/>
        <w:numPr>
          <w:ilvl w:val="0"/>
          <w:numId w:val="1"/>
        </w:numPr>
      </w:pPr>
      <w:r>
        <w:rPr>
          <w:rFonts w:hint="eastAsia"/>
        </w:rPr>
        <w:t>填报注意事项</w:t>
      </w:r>
    </w:p>
    <w:p w:rsidR="00F40EC5" w:rsidRDefault="00AE4278">
      <w:pPr>
        <w:numPr>
          <w:ilvl w:val="0"/>
          <w:numId w:val="4"/>
        </w:numPr>
        <w:ind w:firstLineChars="0" w:firstLine="0"/>
        <w:rPr>
          <w:rFonts w:ascii="仿宋_GB2312" w:eastAsia="仿宋_GB2312" w:hAnsi="仿宋_GB2312" w:cs="仿宋_GB2312"/>
        </w:rPr>
      </w:pPr>
      <w:r>
        <w:rPr>
          <w:rFonts w:ascii="仿宋_GB2312" w:eastAsia="仿宋_GB2312" w:hAnsi="仿宋_GB2312" w:cs="仿宋_GB2312" w:hint="eastAsia"/>
        </w:rPr>
        <w:t>如本单位</w:t>
      </w:r>
      <w:r>
        <w:rPr>
          <w:rFonts w:ascii="仿宋_GB2312" w:eastAsia="仿宋_GB2312" w:hAnsi="仿宋_GB2312" w:cs="仿宋_GB2312" w:hint="eastAsia"/>
        </w:rPr>
        <w:t>2023</w:t>
      </w:r>
      <w:r>
        <w:rPr>
          <w:rFonts w:ascii="仿宋_GB2312" w:eastAsia="仿宋_GB2312" w:hAnsi="仿宋_GB2312" w:cs="仿宋_GB2312" w:hint="eastAsia"/>
        </w:rPr>
        <w:t>年无危废产生、无贮存、无转移，无自行利用处置，年报选择零申报，危险废物信息、单位内部贮存情况、单位内部利用</w:t>
      </w:r>
      <w:r>
        <w:rPr>
          <w:rFonts w:ascii="仿宋_GB2312" w:eastAsia="仿宋_GB2312" w:hAnsi="仿宋_GB2312" w:cs="仿宋_GB2312" w:hint="eastAsia"/>
        </w:rPr>
        <w:t>/</w:t>
      </w:r>
      <w:r>
        <w:rPr>
          <w:rFonts w:ascii="仿宋_GB2312" w:eastAsia="仿宋_GB2312" w:hAnsi="仿宋_GB2312" w:cs="仿宋_GB2312" w:hint="eastAsia"/>
        </w:rPr>
        <w:t>处置情况和外单位利用</w:t>
      </w:r>
      <w:r>
        <w:rPr>
          <w:rFonts w:ascii="仿宋_GB2312" w:eastAsia="仿宋_GB2312" w:hAnsi="仿宋_GB2312" w:cs="仿宋_GB2312" w:hint="eastAsia"/>
        </w:rPr>
        <w:t>/</w:t>
      </w:r>
      <w:r>
        <w:rPr>
          <w:rFonts w:ascii="仿宋_GB2312" w:eastAsia="仿宋_GB2312" w:hAnsi="仿宋_GB2312" w:cs="仿宋_GB2312" w:hint="eastAsia"/>
        </w:rPr>
        <w:t>处置</w:t>
      </w:r>
      <w:r>
        <w:rPr>
          <w:rFonts w:ascii="仿宋_GB2312" w:eastAsia="仿宋_GB2312" w:hAnsi="仿宋_GB2312" w:cs="仿宋_GB2312" w:hint="eastAsia"/>
        </w:rPr>
        <w:t>/</w:t>
      </w:r>
      <w:r>
        <w:rPr>
          <w:rFonts w:ascii="仿宋_GB2312" w:eastAsia="仿宋_GB2312" w:hAnsi="仿宋_GB2312" w:cs="仿宋_GB2312" w:hint="eastAsia"/>
        </w:rPr>
        <w:t>贮存情况四个表可不填写；如为非零申报，危险废物信息表必填。</w:t>
      </w:r>
    </w:p>
    <w:p w:rsidR="00F40EC5" w:rsidRDefault="00AE4278">
      <w:pPr>
        <w:numPr>
          <w:ilvl w:val="0"/>
          <w:numId w:val="4"/>
        </w:numPr>
        <w:ind w:firstLineChars="0" w:firstLine="0"/>
        <w:rPr>
          <w:rFonts w:ascii="仿宋_GB2312" w:eastAsia="仿宋_GB2312" w:hAnsi="仿宋_GB2312" w:cs="仿宋_GB2312"/>
        </w:rPr>
      </w:pPr>
      <w:r>
        <w:rPr>
          <w:rFonts w:ascii="仿宋_GB2312" w:eastAsia="仿宋_GB2312" w:hAnsi="仿宋_GB2312" w:cs="仿宋_GB2312" w:hint="eastAsia"/>
        </w:rPr>
        <w:t>申报的废物需存在于</w:t>
      </w:r>
      <w:r>
        <w:rPr>
          <w:rFonts w:ascii="仿宋_GB2312" w:eastAsia="仿宋_GB2312" w:hAnsi="仿宋_GB2312" w:cs="仿宋_GB2312" w:hint="eastAsia"/>
        </w:rPr>
        <w:t>2023</w:t>
      </w:r>
      <w:r>
        <w:rPr>
          <w:rFonts w:ascii="仿宋_GB2312" w:eastAsia="仿宋_GB2312" w:hAnsi="仿宋_GB2312" w:cs="仿宋_GB2312" w:hint="eastAsia"/>
        </w:rPr>
        <w:t>年管理计划的产生情况表中，如无则需先变更管理计划。</w:t>
      </w:r>
    </w:p>
    <w:p w:rsidR="00F40EC5" w:rsidRDefault="00AE4278">
      <w:pPr>
        <w:numPr>
          <w:ilvl w:val="0"/>
          <w:numId w:val="4"/>
        </w:numPr>
        <w:ind w:firstLineChars="0" w:firstLine="0"/>
        <w:rPr>
          <w:rFonts w:ascii="仿宋_GB2312" w:eastAsia="仿宋_GB2312" w:hAnsi="仿宋_GB2312" w:cs="仿宋_GB2312"/>
        </w:rPr>
      </w:pPr>
      <w:r>
        <w:rPr>
          <w:rFonts w:ascii="仿宋_GB2312" w:eastAsia="仿宋_GB2312" w:hAnsi="仿宋_GB2312" w:cs="仿宋_GB2312" w:hint="eastAsia"/>
        </w:rPr>
        <w:t>申报的废物必须先添加在危险废物信息表中，单位内部贮存情况、单位内部利用</w:t>
      </w:r>
      <w:r>
        <w:rPr>
          <w:rFonts w:ascii="仿宋_GB2312" w:eastAsia="仿宋_GB2312" w:hAnsi="仿宋_GB2312" w:cs="仿宋_GB2312" w:hint="eastAsia"/>
        </w:rPr>
        <w:t>/</w:t>
      </w:r>
      <w:r>
        <w:rPr>
          <w:rFonts w:ascii="仿宋_GB2312" w:eastAsia="仿宋_GB2312" w:hAnsi="仿宋_GB2312" w:cs="仿宋_GB2312" w:hint="eastAsia"/>
        </w:rPr>
        <w:t>处置情况或外单位利用</w:t>
      </w:r>
      <w:r>
        <w:rPr>
          <w:rFonts w:ascii="仿宋_GB2312" w:eastAsia="仿宋_GB2312" w:hAnsi="仿宋_GB2312" w:cs="仿宋_GB2312" w:hint="eastAsia"/>
        </w:rPr>
        <w:t>/</w:t>
      </w:r>
      <w:r>
        <w:rPr>
          <w:rFonts w:ascii="仿宋_GB2312" w:eastAsia="仿宋_GB2312" w:hAnsi="仿宋_GB2312" w:cs="仿宋_GB2312" w:hint="eastAsia"/>
        </w:rPr>
        <w:t>处置</w:t>
      </w:r>
      <w:r>
        <w:rPr>
          <w:rFonts w:ascii="仿宋_GB2312" w:eastAsia="仿宋_GB2312" w:hAnsi="仿宋_GB2312" w:cs="仿宋_GB2312" w:hint="eastAsia"/>
        </w:rPr>
        <w:t>/</w:t>
      </w:r>
      <w:r>
        <w:rPr>
          <w:rFonts w:ascii="仿宋_GB2312" w:eastAsia="仿宋_GB2312" w:hAnsi="仿宋_GB2312" w:cs="仿宋_GB2312" w:hint="eastAsia"/>
        </w:rPr>
        <w:t>贮存情况表中可选择的废物</w:t>
      </w:r>
      <w:r>
        <w:rPr>
          <w:rFonts w:ascii="仿宋_GB2312" w:eastAsia="仿宋_GB2312" w:hAnsi="仿宋_GB2312" w:cs="仿宋_GB2312" w:hint="eastAsia"/>
        </w:rPr>
        <w:t>，从危险废物信息表中获取。</w:t>
      </w:r>
    </w:p>
    <w:p w:rsidR="00F40EC5" w:rsidRDefault="00AE4278">
      <w:pPr>
        <w:numPr>
          <w:ilvl w:val="0"/>
          <w:numId w:val="4"/>
        </w:numPr>
        <w:ind w:firstLineChars="0" w:firstLine="0"/>
        <w:rPr>
          <w:rFonts w:ascii="仿宋_GB2312" w:eastAsia="仿宋_GB2312" w:hAnsi="仿宋_GB2312" w:cs="仿宋_GB2312"/>
        </w:rPr>
      </w:pPr>
      <w:r>
        <w:rPr>
          <w:rFonts w:ascii="仿宋_GB2312" w:eastAsia="仿宋_GB2312" w:hAnsi="仿宋_GB2312" w:cs="仿宋_GB2312" w:hint="eastAsia"/>
        </w:rPr>
        <w:t>存在于危险废物信息中的废物，必须存在于单位内部贮存情况、单位内部利用</w:t>
      </w:r>
      <w:r>
        <w:rPr>
          <w:rFonts w:ascii="仿宋_GB2312" w:eastAsia="仿宋_GB2312" w:hAnsi="仿宋_GB2312" w:cs="仿宋_GB2312" w:hint="eastAsia"/>
        </w:rPr>
        <w:t>/</w:t>
      </w:r>
      <w:r>
        <w:rPr>
          <w:rFonts w:ascii="仿宋_GB2312" w:eastAsia="仿宋_GB2312" w:hAnsi="仿宋_GB2312" w:cs="仿宋_GB2312" w:hint="eastAsia"/>
        </w:rPr>
        <w:t>处置情况或外单位利用</w:t>
      </w:r>
      <w:r>
        <w:rPr>
          <w:rFonts w:ascii="仿宋_GB2312" w:eastAsia="仿宋_GB2312" w:hAnsi="仿宋_GB2312" w:cs="仿宋_GB2312" w:hint="eastAsia"/>
        </w:rPr>
        <w:t>/</w:t>
      </w:r>
      <w:r>
        <w:rPr>
          <w:rFonts w:ascii="仿宋_GB2312" w:eastAsia="仿宋_GB2312" w:hAnsi="仿宋_GB2312" w:cs="仿宋_GB2312" w:hint="eastAsia"/>
        </w:rPr>
        <w:t>处置</w:t>
      </w:r>
      <w:r>
        <w:rPr>
          <w:rFonts w:ascii="仿宋_GB2312" w:eastAsia="仿宋_GB2312" w:hAnsi="仿宋_GB2312" w:cs="仿宋_GB2312" w:hint="eastAsia"/>
        </w:rPr>
        <w:t>/</w:t>
      </w:r>
      <w:r>
        <w:rPr>
          <w:rFonts w:ascii="仿宋_GB2312" w:eastAsia="仿宋_GB2312" w:hAnsi="仿宋_GB2312" w:cs="仿宋_GB2312" w:hint="eastAsia"/>
        </w:rPr>
        <w:t>贮存情况表三个表的任意一个表中；</w:t>
      </w:r>
    </w:p>
    <w:p w:rsidR="00F40EC5" w:rsidRDefault="00AE4278">
      <w:pPr>
        <w:numPr>
          <w:ilvl w:val="0"/>
          <w:numId w:val="4"/>
        </w:numPr>
        <w:ind w:firstLineChars="0" w:firstLine="0"/>
        <w:rPr>
          <w:rFonts w:ascii="仿宋_GB2312" w:eastAsia="仿宋_GB2312" w:hAnsi="仿宋_GB2312" w:cs="仿宋_GB2312"/>
        </w:rPr>
      </w:pPr>
      <w:r>
        <w:rPr>
          <w:rFonts w:ascii="仿宋_GB2312" w:eastAsia="仿宋_GB2312" w:hAnsi="仿宋_GB2312" w:cs="仿宋_GB2312" w:hint="eastAsia"/>
        </w:rPr>
        <w:t>某废物单位内部贮存情况之和需等于该废物截止本年底累计贮存数量；</w:t>
      </w:r>
    </w:p>
    <w:p w:rsidR="00F40EC5" w:rsidRDefault="00AE4278">
      <w:pPr>
        <w:numPr>
          <w:ilvl w:val="0"/>
          <w:numId w:val="4"/>
        </w:numPr>
        <w:ind w:firstLineChars="0" w:firstLine="0"/>
        <w:rPr>
          <w:rFonts w:ascii="仿宋_GB2312" w:eastAsia="仿宋_GB2312" w:hAnsi="仿宋_GB2312" w:cs="仿宋_GB2312"/>
        </w:rPr>
      </w:pPr>
      <w:r>
        <w:rPr>
          <w:rFonts w:ascii="仿宋_GB2312" w:eastAsia="仿宋_GB2312" w:hAnsi="仿宋_GB2312" w:cs="仿宋_GB2312" w:hint="eastAsia"/>
        </w:rPr>
        <w:t>“危险废物信息”表中的“偏移量”为系统自动计算，不可编辑。偏移量</w:t>
      </w:r>
      <w:r>
        <w:rPr>
          <w:rFonts w:ascii="仿宋_GB2312" w:eastAsia="仿宋_GB2312" w:hAnsi="仿宋_GB2312" w:cs="仿宋_GB2312" w:hint="eastAsia"/>
        </w:rPr>
        <w:t>=</w:t>
      </w:r>
      <w:r>
        <w:rPr>
          <w:rFonts w:ascii="仿宋_GB2312" w:eastAsia="仿宋_GB2312" w:hAnsi="仿宋_GB2312" w:cs="仿宋_GB2312" w:hint="eastAsia"/>
        </w:rPr>
        <w:t>截止上年年底遗留贮存量</w:t>
      </w:r>
      <w:r>
        <w:rPr>
          <w:rFonts w:ascii="仿宋_GB2312" w:eastAsia="仿宋_GB2312" w:hAnsi="仿宋_GB2312" w:cs="仿宋_GB2312" w:hint="eastAsia"/>
        </w:rPr>
        <w:t>+</w:t>
      </w:r>
      <w:r>
        <w:rPr>
          <w:rFonts w:ascii="仿宋_GB2312" w:eastAsia="仿宋_GB2312" w:hAnsi="仿宋_GB2312" w:cs="仿宋_GB2312" w:hint="eastAsia"/>
        </w:rPr>
        <w:t>产生量</w:t>
      </w:r>
      <w:r>
        <w:rPr>
          <w:rFonts w:ascii="仿宋_GB2312" w:eastAsia="仿宋_GB2312" w:hAnsi="仿宋_GB2312" w:cs="仿宋_GB2312" w:hint="eastAsia"/>
        </w:rPr>
        <w:t>-</w:t>
      </w:r>
      <w:r>
        <w:rPr>
          <w:rFonts w:ascii="仿宋_GB2312" w:eastAsia="仿宋_GB2312" w:hAnsi="仿宋_GB2312" w:cs="仿宋_GB2312" w:hint="eastAsia"/>
        </w:rPr>
        <w:t>单位内部利用处置总量</w:t>
      </w:r>
      <w:r>
        <w:rPr>
          <w:rFonts w:ascii="仿宋_GB2312" w:eastAsia="仿宋_GB2312" w:hAnsi="仿宋_GB2312" w:cs="仿宋_GB2312" w:hint="eastAsia"/>
        </w:rPr>
        <w:t>-</w:t>
      </w:r>
      <w:r>
        <w:rPr>
          <w:rFonts w:ascii="仿宋_GB2312" w:eastAsia="仿宋_GB2312" w:hAnsi="仿宋_GB2312" w:cs="仿宋_GB2312" w:hint="eastAsia"/>
        </w:rPr>
        <w:t>外单位利用处置总量</w:t>
      </w:r>
      <w:r>
        <w:rPr>
          <w:rFonts w:ascii="仿宋_GB2312" w:eastAsia="仿宋_GB2312" w:hAnsi="仿宋_GB2312" w:cs="仿宋_GB2312" w:hint="eastAsia"/>
        </w:rPr>
        <w:t>-</w:t>
      </w:r>
      <w:r>
        <w:rPr>
          <w:rFonts w:ascii="仿宋_GB2312" w:eastAsia="仿宋_GB2312" w:hAnsi="仿宋_GB2312" w:cs="仿宋_GB2312" w:hint="eastAsia"/>
        </w:rPr>
        <w:t>截止本年年底累计贮存数量，偏移量必须等于零。</w:t>
      </w:r>
    </w:p>
    <w:p w:rsidR="00F40EC5" w:rsidRDefault="00AE4278">
      <w:pPr>
        <w:numPr>
          <w:ilvl w:val="0"/>
          <w:numId w:val="4"/>
        </w:numPr>
        <w:ind w:firstLineChars="0" w:firstLine="0"/>
        <w:rPr>
          <w:rFonts w:ascii="仿宋_GB2312" w:eastAsia="仿宋_GB2312" w:hAnsi="仿宋_GB2312" w:cs="仿宋_GB2312"/>
        </w:rPr>
      </w:pPr>
      <w:r>
        <w:rPr>
          <w:rFonts w:ascii="仿宋_GB2312" w:eastAsia="仿宋_GB2312" w:hAnsi="仿宋_GB2312" w:cs="仿宋_GB2312" w:hint="eastAsia"/>
        </w:rPr>
        <w:lastRenderedPageBreak/>
        <w:t>申报年报时，填写实际填报人姓名与联系方式。</w:t>
      </w:r>
    </w:p>
    <w:p w:rsidR="00F40EC5" w:rsidRDefault="00AE4278">
      <w:pPr>
        <w:numPr>
          <w:ilvl w:val="0"/>
          <w:numId w:val="4"/>
        </w:numPr>
        <w:ind w:firstLineChars="0" w:firstLine="0"/>
        <w:rPr>
          <w:rFonts w:ascii="仿宋_GB2312" w:eastAsia="仿宋_GB2312" w:hAnsi="仿宋_GB2312" w:cs="仿宋_GB2312"/>
        </w:rPr>
      </w:pPr>
      <w:r>
        <w:rPr>
          <w:rFonts w:ascii="仿宋_GB2312" w:eastAsia="仿宋_GB2312" w:hAnsi="仿宋_GB2312" w:cs="仿宋_GB2312" w:hint="eastAsia"/>
          <w:b/>
          <w:bCs/>
        </w:rPr>
        <w:t>填写接收单位许可证须输入完整的正确的许可证号</w:t>
      </w:r>
      <w:r>
        <w:rPr>
          <w:rFonts w:ascii="仿宋_GB2312" w:eastAsia="仿宋_GB2312" w:hAnsi="仿宋_GB2312" w:cs="仿宋_GB2312" w:hint="eastAsia"/>
        </w:rPr>
        <w:t>，如未查询到，联系接收单位确认许可证编号是否准确无误、是否上报国家成功。</w:t>
      </w:r>
    </w:p>
    <w:p w:rsidR="00F40EC5" w:rsidRDefault="00AE4278">
      <w:pPr>
        <w:numPr>
          <w:ilvl w:val="0"/>
          <w:numId w:val="4"/>
        </w:numPr>
        <w:ind w:firstLineChars="0" w:firstLine="0"/>
        <w:rPr>
          <w:rFonts w:ascii="仿宋_GB2312" w:eastAsia="仿宋_GB2312" w:hAnsi="仿宋_GB2312" w:cs="仿宋_GB2312"/>
        </w:rPr>
      </w:pPr>
      <w:r>
        <w:rPr>
          <w:rFonts w:ascii="仿宋_GB2312" w:eastAsia="仿宋_GB2312" w:hAnsi="仿宋_GB2312" w:cs="仿宋_GB2312" w:hint="eastAsia"/>
        </w:rPr>
        <w:t>选择贮存设施、利用</w:t>
      </w:r>
      <w:r>
        <w:rPr>
          <w:rFonts w:ascii="仿宋_GB2312" w:eastAsia="仿宋_GB2312" w:hAnsi="仿宋_GB2312" w:cs="仿宋_GB2312" w:hint="eastAsia"/>
        </w:rPr>
        <w:t>/</w:t>
      </w:r>
      <w:r>
        <w:rPr>
          <w:rFonts w:ascii="仿宋_GB2312" w:eastAsia="仿宋_GB2312" w:hAnsi="仿宋_GB2312" w:cs="仿宋_GB2312" w:hint="eastAsia"/>
        </w:rPr>
        <w:t>处置设施名称后，对应的设施编号将自动显示，如未显示编码，将无法保存。须在菜单“贮存设施信息”、“利用</w:t>
      </w:r>
      <w:r>
        <w:rPr>
          <w:rFonts w:ascii="仿宋_GB2312" w:eastAsia="仿宋_GB2312" w:hAnsi="仿宋_GB2312" w:cs="仿宋_GB2312" w:hint="eastAsia"/>
        </w:rPr>
        <w:t>/</w:t>
      </w:r>
      <w:r>
        <w:rPr>
          <w:rFonts w:ascii="仿宋_GB2312" w:eastAsia="仿宋_GB2312" w:hAnsi="仿宋_GB2312" w:cs="仿宋_GB2312" w:hint="eastAsia"/>
        </w:rPr>
        <w:t>处置设施信息”新增或编辑设施信息后，再填报年报。</w:t>
      </w:r>
    </w:p>
    <w:p w:rsidR="00F40EC5" w:rsidRDefault="00AE4278">
      <w:pPr>
        <w:numPr>
          <w:ilvl w:val="0"/>
          <w:numId w:val="4"/>
        </w:numPr>
        <w:ind w:firstLineChars="0" w:firstLine="0"/>
        <w:rPr>
          <w:rFonts w:ascii="仿宋_GB2312" w:eastAsia="仿宋_GB2312" w:hAnsi="仿宋_GB2312" w:cs="仿宋_GB2312"/>
        </w:rPr>
      </w:pPr>
      <w:r>
        <w:rPr>
          <w:rFonts w:ascii="仿宋_GB2312" w:eastAsia="仿宋_GB2312" w:hAnsi="仿宋_GB2312" w:cs="仿宋_GB2312" w:hint="eastAsia"/>
        </w:rPr>
        <w:t>建议填报时按照废物进行填报，填报完某一废物的危险废物信息、单位内部贮存情况、单位内部利用</w:t>
      </w:r>
      <w:r>
        <w:rPr>
          <w:rFonts w:ascii="仿宋_GB2312" w:eastAsia="仿宋_GB2312" w:hAnsi="仿宋_GB2312" w:cs="仿宋_GB2312" w:hint="eastAsia"/>
        </w:rPr>
        <w:t>/</w:t>
      </w:r>
      <w:r>
        <w:rPr>
          <w:rFonts w:ascii="仿宋_GB2312" w:eastAsia="仿宋_GB2312" w:hAnsi="仿宋_GB2312" w:cs="仿宋_GB2312" w:hint="eastAsia"/>
        </w:rPr>
        <w:t>处置情况和外单位利用</w:t>
      </w:r>
      <w:r>
        <w:rPr>
          <w:rFonts w:ascii="仿宋_GB2312" w:eastAsia="仿宋_GB2312" w:hAnsi="仿宋_GB2312" w:cs="仿宋_GB2312" w:hint="eastAsia"/>
        </w:rPr>
        <w:t>/</w:t>
      </w:r>
      <w:r>
        <w:rPr>
          <w:rFonts w:ascii="仿宋_GB2312" w:eastAsia="仿宋_GB2312" w:hAnsi="仿宋_GB2312" w:cs="仿宋_GB2312" w:hint="eastAsia"/>
        </w:rPr>
        <w:t>处置</w:t>
      </w:r>
      <w:r>
        <w:rPr>
          <w:rFonts w:ascii="仿宋_GB2312" w:eastAsia="仿宋_GB2312" w:hAnsi="仿宋_GB2312" w:cs="仿宋_GB2312" w:hint="eastAsia"/>
        </w:rPr>
        <w:t>/</w:t>
      </w:r>
      <w:r>
        <w:rPr>
          <w:rFonts w:ascii="仿宋_GB2312" w:eastAsia="仿宋_GB2312" w:hAnsi="仿宋_GB2312" w:cs="仿宋_GB2312" w:hint="eastAsia"/>
        </w:rPr>
        <w:t>贮存情况四个表，点击保存并保存成功后，再填报下一个废物。</w:t>
      </w:r>
    </w:p>
    <w:p w:rsidR="00F40EC5" w:rsidRDefault="00AE4278" w:rsidP="00317E19">
      <w:pPr>
        <w:ind w:firstLine="560"/>
        <w:rPr>
          <w:rFonts w:ascii="仿宋_GB2312" w:eastAsia="仿宋_GB2312" w:hAnsi="仿宋_GB2312" w:cs="仿宋_GB2312"/>
        </w:rPr>
      </w:pPr>
      <w:r>
        <w:rPr>
          <w:rFonts w:ascii="仿宋_GB2312" w:eastAsia="仿宋_GB2312" w:hAnsi="仿宋_GB2312" w:cs="仿宋_GB2312" w:hint="eastAsia"/>
        </w:rPr>
        <w:br w:type="page"/>
      </w:r>
    </w:p>
    <w:p w:rsidR="00F40EC5" w:rsidRDefault="00F40EC5">
      <w:pPr>
        <w:ind w:firstLineChars="0" w:firstLine="0"/>
        <w:rPr>
          <w:rFonts w:ascii="仿宋_GB2312" w:eastAsia="仿宋_GB2312" w:hAnsi="仿宋_GB2312" w:cs="仿宋_GB2312"/>
        </w:rPr>
      </w:pPr>
    </w:p>
    <w:p w:rsidR="00F40EC5" w:rsidRDefault="00AE4278">
      <w:pPr>
        <w:ind w:firstLineChars="0" w:firstLine="0"/>
        <w:jc w:val="center"/>
        <w:rPr>
          <w:rFonts w:ascii="仿宋_GB2312" w:eastAsia="仿宋_GB2312" w:hAnsi="仿宋_GB2312" w:cs="仿宋_GB2312"/>
          <w:b/>
          <w:bCs/>
        </w:rPr>
      </w:pPr>
      <w:r>
        <w:rPr>
          <w:rFonts w:ascii="仿宋_GB2312" w:eastAsia="仿宋_GB2312" w:hAnsi="仿宋_GB2312" w:cs="仿宋_GB2312" w:hint="eastAsia"/>
          <w:b/>
          <w:bCs/>
        </w:rPr>
        <w:t>产废年报操作手册</w:t>
      </w:r>
    </w:p>
    <w:p w:rsidR="00F40EC5" w:rsidRDefault="00AE4278">
      <w:pPr>
        <w:pStyle w:val="4"/>
        <w:spacing w:before="100" w:after="100" w:line="360" w:lineRule="auto"/>
      </w:pPr>
      <w:r>
        <w:rPr>
          <w:rFonts w:hint="eastAsia"/>
        </w:rPr>
        <w:t>一、零申报</w:t>
      </w:r>
    </w:p>
    <w:p w:rsidR="00F40EC5" w:rsidRDefault="00AE4278">
      <w:pPr>
        <w:ind w:firstLine="560"/>
        <w:rPr>
          <w:rFonts w:ascii="仿宋_GB2312" w:eastAsia="仿宋_GB2312" w:hAnsi="仿宋_GB2312" w:cs="仿宋_GB2312"/>
        </w:rPr>
      </w:pPr>
      <w:r>
        <w:rPr>
          <w:rFonts w:ascii="仿宋_GB2312" w:eastAsia="仿宋_GB2312" w:hAnsi="仿宋_GB2312" w:cs="仿宋_GB2312" w:hint="eastAsia"/>
        </w:rPr>
        <w:t>打开菜单“年报</w:t>
      </w:r>
      <w:r>
        <w:rPr>
          <w:rFonts w:ascii="仿宋_GB2312" w:eastAsia="仿宋_GB2312" w:hAnsi="仿宋_GB2312" w:cs="仿宋_GB2312" w:hint="eastAsia"/>
        </w:rPr>
        <w:t>-</w:t>
      </w:r>
      <w:r>
        <w:rPr>
          <w:rFonts w:ascii="仿宋_GB2312" w:eastAsia="仿宋_GB2312" w:hAnsi="仿宋_GB2312" w:cs="仿宋_GB2312" w:hint="eastAsia"/>
        </w:rPr>
        <w:t>手动填报”，选择年份</w:t>
      </w:r>
      <w:r>
        <w:rPr>
          <w:rFonts w:ascii="仿宋_GB2312" w:eastAsia="仿宋_GB2312" w:hAnsi="仿宋_GB2312" w:cs="仿宋_GB2312" w:hint="eastAsia"/>
        </w:rPr>
        <w:t>2023</w:t>
      </w:r>
      <w:r>
        <w:rPr>
          <w:rFonts w:ascii="仿宋_GB2312" w:eastAsia="仿宋_GB2312" w:hAnsi="仿宋_GB2312" w:cs="仿宋_GB2312" w:hint="eastAsia"/>
        </w:rPr>
        <w:t>年，点击“编辑”，进入填报页面，在是否零申报中选择“是”，填写姓名与联系方式，完成企业基本信息表后，点击“保存”。如图：</w:t>
      </w:r>
    </w:p>
    <w:p w:rsidR="00F40EC5" w:rsidRDefault="00AE4278">
      <w:pPr>
        <w:ind w:firstLineChars="0" w:firstLine="0"/>
        <w:jc w:val="center"/>
      </w:pPr>
      <w:r>
        <w:rPr>
          <w:noProof/>
        </w:rPr>
        <w:drawing>
          <wp:inline distT="0" distB="0" distL="114300" distR="114300">
            <wp:extent cx="5259705" cy="1646555"/>
            <wp:effectExtent l="0" t="0" r="17145" b="10795"/>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7" cstate="print"/>
                    <a:stretch>
                      <a:fillRect/>
                    </a:stretch>
                  </pic:blipFill>
                  <pic:spPr>
                    <a:xfrm>
                      <a:off x="0" y="0"/>
                      <a:ext cx="5259705" cy="1646555"/>
                    </a:xfrm>
                    <a:prstGeom prst="rect">
                      <a:avLst/>
                    </a:prstGeom>
                    <a:noFill/>
                    <a:ln>
                      <a:noFill/>
                    </a:ln>
                  </pic:spPr>
                </pic:pic>
              </a:graphicData>
            </a:graphic>
          </wp:inline>
        </w:drawing>
      </w:r>
    </w:p>
    <w:p w:rsidR="00F40EC5" w:rsidRDefault="00AE4278">
      <w:pPr>
        <w:ind w:firstLineChars="0" w:firstLine="0"/>
        <w:jc w:val="center"/>
        <w:rPr>
          <w:rFonts w:ascii="仿宋_GB2312" w:eastAsia="仿宋_GB2312" w:hAnsi="仿宋_GB2312" w:cs="仿宋_GB2312"/>
        </w:rPr>
      </w:pPr>
      <w:r>
        <w:rPr>
          <w:noProof/>
        </w:rPr>
        <w:drawing>
          <wp:inline distT="0" distB="0" distL="114300" distR="114300">
            <wp:extent cx="4482465" cy="2232660"/>
            <wp:effectExtent l="0" t="0" r="13335" b="152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cstate="print"/>
                    <a:srcRect l="14890" t="10557"/>
                    <a:stretch>
                      <a:fillRect/>
                    </a:stretch>
                  </pic:blipFill>
                  <pic:spPr>
                    <a:xfrm>
                      <a:off x="0" y="0"/>
                      <a:ext cx="4482465" cy="2232660"/>
                    </a:xfrm>
                    <a:prstGeom prst="rect">
                      <a:avLst/>
                    </a:prstGeom>
                    <a:noFill/>
                    <a:ln>
                      <a:noFill/>
                    </a:ln>
                  </pic:spPr>
                </pic:pic>
              </a:graphicData>
            </a:graphic>
          </wp:inline>
        </w:drawing>
      </w:r>
    </w:p>
    <w:p w:rsidR="00F40EC5" w:rsidRDefault="00AE4278">
      <w:pPr>
        <w:pStyle w:val="4"/>
        <w:spacing w:before="100" w:after="100" w:line="360" w:lineRule="auto"/>
      </w:pPr>
      <w:r>
        <w:rPr>
          <w:rFonts w:hint="eastAsia"/>
        </w:rPr>
        <w:t>二、非零申报</w:t>
      </w:r>
    </w:p>
    <w:p w:rsidR="00F40EC5" w:rsidRDefault="00AE4278">
      <w:pPr>
        <w:pStyle w:val="5"/>
        <w:spacing w:before="100" w:after="100" w:line="360" w:lineRule="auto"/>
        <w:ind w:firstLineChars="0" w:firstLine="0"/>
        <w:rPr>
          <w:sz w:val="30"/>
          <w:szCs w:val="30"/>
        </w:rPr>
      </w:pPr>
      <w:r>
        <w:rPr>
          <w:rFonts w:hint="eastAsia"/>
          <w:sz w:val="30"/>
          <w:szCs w:val="30"/>
        </w:rPr>
        <w:t>2.1</w:t>
      </w:r>
      <w:r>
        <w:rPr>
          <w:rFonts w:hint="eastAsia"/>
          <w:sz w:val="30"/>
          <w:szCs w:val="30"/>
        </w:rPr>
        <w:t>企业基本信息</w:t>
      </w:r>
    </w:p>
    <w:p w:rsidR="00F40EC5" w:rsidRDefault="00AE4278">
      <w:pPr>
        <w:ind w:firstLine="560"/>
        <w:rPr>
          <w:rFonts w:ascii="仿宋_GB2312" w:eastAsia="仿宋_GB2312" w:hAnsi="仿宋_GB2312" w:cs="仿宋_GB2312"/>
        </w:rPr>
      </w:pPr>
      <w:r>
        <w:rPr>
          <w:rFonts w:ascii="仿宋_GB2312" w:eastAsia="仿宋_GB2312" w:hAnsi="仿宋_GB2312" w:cs="仿宋_GB2312" w:hint="eastAsia"/>
        </w:rPr>
        <w:t>1.</w:t>
      </w:r>
      <w:r>
        <w:rPr>
          <w:rFonts w:ascii="仿宋_GB2312" w:eastAsia="仿宋_GB2312" w:hAnsi="仿宋_GB2312" w:cs="仿宋_GB2312" w:hint="eastAsia"/>
        </w:rPr>
        <w:t>打开菜单“年报</w:t>
      </w:r>
      <w:r>
        <w:rPr>
          <w:rFonts w:ascii="仿宋_GB2312" w:eastAsia="仿宋_GB2312" w:hAnsi="仿宋_GB2312" w:cs="仿宋_GB2312" w:hint="eastAsia"/>
        </w:rPr>
        <w:t>-</w:t>
      </w:r>
      <w:r>
        <w:rPr>
          <w:rFonts w:ascii="仿宋_GB2312" w:eastAsia="仿宋_GB2312" w:hAnsi="仿宋_GB2312" w:cs="仿宋_GB2312" w:hint="eastAsia"/>
        </w:rPr>
        <w:t>手动填报”，选择年份</w:t>
      </w:r>
      <w:r>
        <w:rPr>
          <w:rFonts w:ascii="仿宋_GB2312" w:eastAsia="仿宋_GB2312" w:hAnsi="仿宋_GB2312" w:cs="仿宋_GB2312" w:hint="eastAsia"/>
        </w:rPr>
        <w:t>2023</w:t>
      </w:r>
      <w:r>
        <w:rPr>
          <w:rFonts w:ascii="仿宋_GB2312" w:eastAsia="仿宋_GB2312" w:hAnsi="仿宋_GB2312" w:cs="仿宋_GB2312" w:hint="eastAsia"/>
        </w:rPr>
        <w:t>年，点击“编辑”，进入填报页面，在是否零申报中选择“否”，填写姓名与联系方式，完成企业基本信息表。如图：</w:t>
      </w:r>
    </w:p>
    <w:p w:rsidR="00F40EC5" w:rsidRDefault="00AE4278">
      <w:pPr>
        <w:ind w:firstLineChars="0" w:firstLine="0"/>
        <w:jc w:val="center"/>
      </w:pPr>
      <w:r>
        <w:rPr>
          <w:noProof/>
        </w:rPr>
        <w:lastRenderedPageBreak/>
        <w:drawing>
          <wp:inline distT="0" distB="0" distL="114300" distR="114300">
            <wp:extent cx="4497070" cy="1833880"/>
            <wp:effectExtent l="0" t="0" r="17780" b="139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cstate="print"/>
                    <a:srcRect l="14613" t="7610" b="21727"/>
                    <a:stretch>
                      <a:fillRect/>
                    </a:stretch>
                  </pic:blipFill>
                  <pic:spPr>
                    <a:xfrm>
                      <a:off x="0" y="0"/>
                      <a:ext cx="4497070" cy="1833880"/>
                    </a:xfrm>
                    <a:prstGeom prst="rect">
                      <a:avLst/>
                    </a:prstGeom>
                    <a:noFill/>
                    <a:ln>
                      <a:noFill/>
                    </a:ln>
                  </pic:spPr>
                </pic:pic>
              </a:graphicData>
            </a:graphic>
          </wp:inline>
        </w:drawing>
      </w:r>
    </w:p>
    <w:p w:rsidR="00F40EC5" w:rsidRDefault="00AE4278">
      <w:pPr>
        <w:pStyle w:val="5"/>
        <w:spacing w:before="100" w:after="100" w:line="360" w:lineRule="auto"/>
        <w:ind w:firstLineChars="0" w:firstLine="0"/>
        <w:rPr>
          <w:sz w:val="30"/>
          <w:szCs w:val="30"/>
        </w:rPr>
      </w:pPr>
      <w:r>
        <w:rPr>
          <w:rFonts w:hint="eastAsia"/>
          <w:sz w:val="30"/>
          <w:szCs w:val="30"/>
        </w:rPr>
        <w:t>2.2</w:t>
      </w:r>
      <w:r>
        <w:rPr>
          <w:rFonts w:hint="eastAsia"/>
          <w:sz w:val="30"/>
          <w:szCs w:val="30"/>
        </w:rPr>
        <w:t>危险废物信息</w:t>
      </w:r>
    </w:p>
    <w:p w:rsidR="00F40EC5" w:rsidRDefault="00AE4278">
      <w:pPr>
        <w:ind w:firstLine="560"/>
        <w:rPr>
          <w:rFonts w:ascii="仿宋_GB2312" w:eastAsia="仿宋_GB2312" w:hAnsi="仿宋_GB2312" w:cs="仿宋_GB2312"/>
        </w:rPr>
      </w:pPr>
      <w:r>
        <w:rPr>
          <w:rFonts w:ascii="仿宋_GB2312" w:eastAsia="仿宋_GB2312" w:hAnsi="仿宋_GB2312" w:cs="仿宋_GB2312" w:hint="eastAsia"/>
        </w:rPr>
        <w:t>点击“新增”，选择废物，填写</w:t>
      </w:r>
      <w:r>
        <w:rPr>
          <w:rFonts w:ascii="仿宋_GB2312" w:eastAsia="仿宋_GB2312" w:hAnsi="仿宋_GB2312" w:cs="仿宋_GB2312" w:hint="eastAsia"/>
        </w:rPr>
        <w:t>2023</w:t>
      </w:r>
      <w:r>
        <w:rPr>
          <w:rFonts w:ascii="仿宋_GB2312" w:eastAsia="仿宋_GB2312" w:hAnsi="仿宋_GB2312" w:cs="仿宋_GB2312" w:hint="eastAsia"/>
        </w:rPr>
        <w:t>年该危废产生量、截止上年底遗留贮存量（</w:t>
      </w:r>
      <w:r>
        <w:rPr>
          <w:rFonts w:ascii="仿宋_GB2312" w:eastAsia="仿宋_GB2312" w:hAnsi="仿宋_GB2312" w:cs="仿宋_GB2312" w:hint="eastAsia"/>
          <w:b/>
          <w:bCs/>
        </w:rPr>
        <w:t>截止</w:t>
      </w:r>
      <w:r>
        <w:rPr>
          <w:rFonts w:ascii="仿宋_GB2312" w:eastAsia="仿宋_GB2312" w:hAnsi="仿宋_GB2312" w:cs="仿宋_GB2312" w:hint="eastAsia"/>
          <w:b/>
          <w:bCs/>
        </w:rPr>
        <w:t>2022</w:t>
      </w:r>
      <w:r>
        <w:rPr>
          <w:rFonts w:ascii="仿宋_GB2312" w:eastAsia="仿宋_GB2312" w:hAnsi="仿宋_GB2312" w:cs="仿宋_GB2312" w:hint="eastAsia"/>
          <w:b/>
          <w:bCs/>
        </w:rPr>
        <w:t>年年底该废物在所有仓库的库存量之和</w:t>
      </w:r>
      <w:r>
        <w:rPr>
          <w:rFonts w:ascii="仿宋_GB2312" w:eastAsia="仿宋_GB2312" w:hAnsi="仿宋_GB2312" w:cs="仿宋_GB2312" w:hint="eastAsia"/>
        </w:rPr>
        <w:t>）、截</w:t>
      </w:r>
      <w:r>
        <w:rPr>
          <w:rFonts w:ascii="仿宋_GB2312" w:eastAsia="仿宋_GB2312" w:hAnsi="仿宋_GB2312" w:cs="仿宋_GB2312" w:hint="eastAsia"/>
        </w:rPr>
        <w:t>止本年底累计贮存数量（</w:t>
      </w:r>
      <w:r>
        <w:rPr>
          <w:rFonts w:ascii="仿宋_GB2312" w:eastAsia="仿宋_GB2312" w:hAnsi="仿宋_GB2312" w:cs="仿宋_GB2312" w:hint="eastAsia"/>
          <w:b/>
          <w:bCs/>
        </w:rPr>
        <w:t>截止</w:t>
      </w:r>
      <w:r>
        <w:rPr>
          <w:rFonts w:ascii="仿宋_GB2312" w:eastAsia="仿宋_GB2312" w:hAnsi="仿宋_GB2312" w:cs="仿宋_GB2312" w:hint="eastAsia"/>
          <w:b/>
          <w:bCs/>
        </w:rPr>
        <w:t>2023</w:t>
      </w:r>
      <w:r>
        <w:rPr>
          <w:rFonts w:ascii="仿宋_GB2312" w:eastAsia="仿宋_GB2312" w:hAnsi="仿宋_GB2312" w:cs="仿宋_GB2312" w:hint="eastAsia"/>
          <w:b/>
          <w:bCs/>
        </w:rPr>
        <w:t>年年底该废物在所有仓库的库存量之和</w:t>
      </w:r>
      <w:r>
        <w:rPr>
          <w:rFonts w:ascii="仿宋_GB2312" w:eastAsia="仿宋_GB2312" w:hAnsi="仿宋_GB2312" w:cs="仿宋_GB2312" w:hint="eastAsia"/>
        </w:rPr>
        <w:t>）。依次添加废物信息，完成危废信息表。如图：</w:t>
      </w:r>
    </w:p>
    <w:p w:rsidR="00F40EC5" w:rsidRDefault="00AE4278">
      <w:pPr>
        <w:ind w:firstLineChars="0" w:firstLine="0"/>
        <w:jc w:val="center"/>
      </w:pPr>
      <w:r>
        <w:rPr>
          <w:noProof/>
        </w:rPr>
        <w:drawing>
          <wp:inline distT="0" distB="0" distL="114300" distR="114300">
            <wp:extent cx="4475480" cy="1292225"/>
            <wp:effectExtent l="0" t="0" r="127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cstate="print"/>
                    <a:srcRect l="15023" t="6778" b="43430"/>
                    <a:stretch>
                      <a:fillRect/>
                    </a:stretch>
                  </pic:blipFill>
                  <pic:spPr>
                    <a:xfrm>
                      <a:off x="0" y="0"/>
                      <a:ext cx="4475480" cy="1292225"/>
                    </a:xfrm>
                    <a:prstGeom prst="rect">
                      <a:avLst/>
                    </a:prstGeom>
                    <a:noFill/>
                    <a:ln>
                      <a:noFill/>
                    </a:ln>
                  </pic:spPr>
                </pic:pic>
              </a:graphicData>
            </a:graphic>
          </wp:inline>
        </w:drawing>
      </w:r>
    </w:p>
    <w:p w:rsidR="00F40EC5" w:rsidRDefault="00AE4278">
      <w:pPr>
        <w:ind w:firstLineChars="0" w:firstLine="0"/>
        <w:jc w:val="center"/>
      </w:pPr>
      <w:r>
        <w:rPr>
          <w:noProof/>
        </w:rPr>
        <w:drawing>
          <wp:inline distT="0" distB="0" distL="114300" distR="114300">
            <wp:extent cx="4431030" cy="1938655"/>
            <wp:effectExtent l="0" t="0" r="7620" b="4445"/>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11" cstate="print"/>
                    <a:stretch>
                      <a:fillRect/>
                    </a:stretch>
                  </pic:blipFill>
                  <pic:spPr>
                    <a:xfrm>
                      <a:off x="0" y="0"/>
                      <a:ext cx="4431030" cy="1938655"/>
                    </a:xfrm>
                    <a:prstGeom prst="rect">
                      <a:avLst/>
                    </a:prstGeom>
                    <a:noFill/>
                    <a:ln>
                      <a:noFill/>
                    </a:ln>
                  </pic:spPr>
                </pic:pic>
              </a:graphicData>
            </a:graphic>
          </wp:inline>
        </w:drawing>
      </w:r>
    </w:p>
    <w:p w:rsidR="00F40EC5" w:rsidRDefault="00AE4278">
      <w:pPr>
        <w:pStyle w:val="5"/>
        <w:spacing w:before="100" w:after="100" w:line="360" w:lineRule="auto"/>
        <w:ind w:firstLineChars="0" w:firstLine="0"/>
        <w:rPr>
          <w:sz w:val="30"/>
          <w:szCs w:val="30"/>
        </w:rPr>
      </w:pPr>
      <w:r>
        <w:rPr>
          <w:rFonts w:hint="eastAsia"/>
          <w:sz w:val="30"/>
          <w:szCs w:val="30"/>
        </w:rPr>
        <w:t>2.3</w:t>
      </w:r>
      <w:r>
        <w:rPr>
          <w:rFonts w:hint="eastAsia"/>
          <w:sz w:val="30"/>
          <w:szCs w:val="30"/>
        </w:rPr>
        <w:t>单位内部贮存情况</w:t>
      </w:r>
    </w:p>
    <w:p w:rsidR="00F40EC5" w:rsidRDefault="00AE4278">
      <w:pPr>
        <w:ind w:firstLine="560"/>
        <w:rPr>
          <w:rFonts w:ascii="仿宋_GB2312" w:eastAsia="仿宋_GB2312" w:hAnsi="仿宋_GB2312" w:cs="仿宋_GB2312"/>
        </w:rPr>
      </w:pPr>
      <w:r>
        <w:rPr>
          <w:rFonts w:ascii="仿宋_GB2312" w:eastAsia="仿宋_GB2312" w:hAnsi="仿宋_GB2312" w:cs="仿宋_GB2312" w:hint="eastAsia"/>
        </w:rPr>
        <w:t>点击“新增”，新增单位内部贮存情况，选择废物名称、贮存设施名称，填写该废物贮存量。依次添加</w:t>
      </w:r>
      <w:r>
        <w:rPr>
          <w:rFonts w:ascii="仿宋_GB2312" w:eastAsia="仿宋_GB2312" w:hAnsi="仿宋_GB2312" w:cs="仿宋_GB2312" w:hint="eastAsia"/>
        </w:rPr>
        <w:t>2023</w:t>
      </w:r>
      <w:r>
        <w:rPr>
          <w:rFonts w:ascii="仿宋_GB2312" w:eastAsia="仿宋_GB2312" w:hAnsi="仿宋_GB2312" w:cs="仿宋_GB2312" w:hint="eastAsia"/>
        </w:rPr>
        <w:t>年年底仓库库存废物的</w:t>
      </w:r>
      <w:r>
        <w:rPr>
          <w:rFonts w:ascii="仿宋_GB2312" w:eastAsia="仿宋_GB2312" w:hAnsi="仿宋_GB2312" w:cs="仿宋_GB2312" w:hint="eastAsia"/>
        </w:rPr>
        <w:lastRenderedPageBreak/>
        <w:t>贮存情况，完成单位内部贮存情况表。如图：</w:t>
      </w:r>
    </w:p>
    <w:p w:rsidR="00F40EC5" w:rsidRDefault="00AE4278">
      <w:pPr>
        <w:ind w:firstLineChars="0" w:firstLine="0"/>
        <w:jc w:val="center"/>
      </w:pPr>
      <w:r>
        <w:rPr>
          <w:noProof/>
        </w:rPr>
        <w:drawing>
          <wp:inline distT="0" distB="0" distL="114300" distR="114300">
            <wp:extent cx="4453255" cy="1858645"/>
            <wp:effectExtent l="0" t="0" r="4445"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cstate="print"/>
                    <a:srcRect l="15445" t="9297"/>
                    <a:stretch>
                      <a:fillRect/>
                    </a:stretch>
                  </pic:blipFill>
                  <pic:spPr>
                    <a:xfrm>
                      <a:off x="0" y="0"/>
                      <a:ext cx="4453255" cy="1858645"/>
                    </a:xfrm>
                    <a:prstGeom prst="rect">
                      <a:avLst/>
                    </a:prstGeom>
                    <a:noFill/>
                    <a:ln>
                      <a:noFill/>
                    </a:ln>
                  </pic:spPr>
                </pic:pic>
              </a:graphicData>
            </a:graphic>
          </wp:inline>
        </w:drawing>
      </w:r>
    </w:p>
    <w:p w:rsidR="00F40EC5" w:rsidRDefault="00AE4278">
      <w:pPr>
        <w:ind w:firstLineChars="0" w:firstLine="0"/>
        <w:jc w:val="center"/>
      </w:pPr>
      <w:r>
        <w:rPr>
          <w:noProof/>
        </w:rPr>
        <w:drawing>
          <wp:inline distT="0" distB="0" distL="114300" distR="114300">
            <wp:extent cx="4416425" cy="1555750"/>
            <wp:effectExtent l="0" t="0" r="3175"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3" cstate="print"/>
                    <a:srcRect l="16144" t="10519"/>
                    <a:stretch>
                      <a:fillRect/>
                    </a:stretch>
                  </pic:blipFill>
                  <pic:spPr>
                    <a:xfrm>
                      <a:off x="0" y="0"/>
                      <a:ext cx="4416425" cy="1555750"/>
                    </a:xfrm>
                    <a:prstGeom prst="rect">
                      <a:avLst/>
                    </a:prstGeom>
                    <a:noFill/>
                    <a:ln>
                      <a:noFill/>
                    </a:ln>
                  </pic:spPr>
                </pic:pic>
              </a:graphicData>
            </a:graphic>
          </wp:inline>
        </w:drawing>
      </w:r>
    </w:p>
    <w:p w:rsidR="00F40EC5" w:rsidRDefault="00AE4278">
      <w:pPr>
        <w:pStyle w:val="5"/>
        <w:spacing w:before="100" w:after="100" w:line="360" w:lineRule="auto"/>
        <w:ind w:firstLineChars="0" w:firstLine="0"/>
        <w:rPr>
          <w:sz w:val="30"/>
          <w:szCs w:val="30"/>
        </w:rPr>
      </w:pPr>
      <w:r>
        <w:rPr>
          <w:rFonts w:hint="eastAsia"/>
          <w:sz w:val="30"/>
          <w:szCs w:val="30"/>
        </w:rPr>
        <w:t>2.4</w:t>
      </w:r>
      <w:r>
        <w:rPr>
          <w:rFonts w:hint="eastAsia"/>
          <w:sz w:val="30"/>
          <w:szCs w:val="30"/>
        </w:rPr>
        <w:t>单位内部利用</w:t>
      </w:r>
      <w:r>
        <w:rPr>
          <w:rFonts w:hint="eastAsia"/>
          <w:sz w:val="30"/>
          <w:szCs w:val="30"/>
        </w:rPr>
        <w:t>/</w:t>
      </w:r>
      <w:r>
        <w:rPr>
          <w:rFonts w:hint="eastAsia"/>
          <w:sz w:val="30"/>
          <w:szCs w:val="30"/>
        </w:rPr>
        <w:t>处置情况</w:t>
      </w:r>
    </w:p>
    <w:p w:rsidR="00F40EC5" w:rsidRDefault="00AE4278">
      <w:pPr>
        <w:ind w:firstLine="560"/>
        <w:rPr>
          <w:rFonts w:ascii="仿宋_GB2312" w:eastAsia="仿宋_GB2312" w:hAnsi="仿宋_GB2312" w:cs="仿宋_GB2312"/>
        </w:rPr>
      </w:pPr>
      <w:r>
        <w:rPr>
          <w:rFonts w:ascii="仿宋_GB2312" w:eastAsia="仿宋_GB2312" w:hAnsi="仿宋_GB2312" w:cs="仿宋_GB2312" w:hint="eastAsia"/>
        </w:rPr>
        <w:t>点击“新增”，新增单位内部利用</w:t>
      </w:r>
      <w:r>
        <w:rPr>
          <w:rFonts w:ascii="仿宋_GB2312" w:eastAsia="仿宋_GB2312" w:hAnsi="仿宋_GB2312" w:cs="仿宋_GB2312" w:hint="eastAsia"/>
        </w:rPr>
        <w:t>/</w:t>
      </w:r>
      <w:r>
        <w:rPr>
          <w:rFonts w:ascii="仿宋_GB2312" w:eastAsia="仿宋_GB2312" w:hAnsi="仿宋_GB2312" w:cs="仿宋_GB2312" w:hint="eastAsia"/>
        </w:rPr>
        <w:t>处置情况，选择废物名称、利用处置设施名称，选择利用处置方式、填写该废物利用处置量。依次添加</w:t>
      </w:r>
      <w:r>
        <w:rPr>
          <w:rFonts w:ascii="仿宋_GB2312" w:eastAsia="仿宋_GB2312" w:hAnsi="仿宋_GB2312" w:cs="仿宋_GB2312" w:hint="eastAsia"/>
        </w:rPr>
        <w:t>2023</w:t>
      </w:r>
      <w:r>
        <w:rPr>
          <w:rFonts w:ascii="仿宋_GB2312" w:eastAsia="仿宋_GB2312" w:hAnsi="仿宋_GB2312" w:cs="仿宋_GB2312" w:hint="eastAsia"/>
        </w:rPr>
        <w:t>年废物的利用处置情况，完成单位内部利用</w:t>
      </w:r>
      <w:r>
        <w:rPr>
          <w:rFonts w:ascii="仿宋_GB2312" w:eastAsia="仿宋_GB2312" w:hAnsi="仿宋_GB2312" w:cs="仿宋_GB2312" w:hint="eastAsia"/>
        </w:rPr>
        <w:t>/</w:t>
      </w:r>
      <w:r>
        <w:rPr>
          <w:rFonts w:ascii="仿宋_GB2312" w:eastAsia="仿宋_GB2312" w:hAnsi="仿宋_GB2312" w:cs="仿宋_GB2312" w:hint="eastAsia"/>
        </w:rPr>
        <w:t>处置情况表。如图：</w:t>
      </w:r>
    </w:p>
    <w:p w:rsidR="00F40EC5" w:rsidRDefault="00AE4278">
      <w:pPr>
        <w:ind w:firstLineChars="0" w:firstLine="0"/>
        <w:jc w:val="center"/>
      </w:pPr>
      <w:r>
        <w:rPr>
          <w:noProof/>
        </w:rPr>
        <w:drawing>
          <wp:inline distT="0" distB="0" distL="114300" distR="114300">
            <wp:extent cx="4440555" cy="1111250"/>
            <wp:effectExtent l="0" t="0" r="17145" b="1270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4" cstate="print"/>
                    <a:srcRect l="15717" t="11005" b="27267"/>
                    <a:stretch>
                      <a:fillRect/>
                    </a:stretch>
                  </pic:blipFill>
                  <pic:spPr>
                    <a:xfrm>
                      <a:off x="0" y="0"/>
                      <a:ext cx="4440555" cy="1111250"/>
                    </a:xfrm>
                    <a:prstGeom prst="rect">
                      <a:avLst/>
                    </a:prstGeom>
                    <a:noFill/>
                    <a:ln>
                      <a:noFill/>
                    </a:ln>
                  </pic:spPr>
                </pic:pic>
              </a:graphicData>
            </a:graphic>
          </wp:inline>
        </w:drawing>
      </w:r>
    </w:p>
    <w:p w:rsidR="00F40EC5" w:rsidRDefault="00AE4278">
      <w:pPr>
        <w:ind w:firstLineChars="0" w:firstLine="0"/>
        <w:jc w:val="center"/>
      </w:pPr>
      <w:r>
        <w:rPr>
          <w:noProof/>
        </w:rPr>
        <w:drawing>
          <wp:inline distT="0" distB="0" distL="114300" distR="114300">
            <wp:extent cx="4428490" cy="1581150"/>
            <wp:effectExtent l="0" t="0" r="1016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5" cstate="print"/>
                    <a:srcRect l="15986" t="11858"/>
                    <a:stretch>
                      <a:fillRect/>
                    </a:stretch>
                  </pic:blipFill>
                  <pic:spPr>
                    <a:xfrm>
                      <a:off x="0" y="0"/>
                      <a:ext cx="4428490" cy="1581150"/>
                    </a:xfrm>
                    <a:prstGeom prst="rect">
                      <a:avLst/>
                    </a:prstGeom>
                    <a:noFill/>
                    <a:ln>
                      <a:noFill/>
                    </a:ln>
                  </pic:spPr>
                </pic:pic>
              </a:graphicData>
            </a:graphic>
          </wp:inline>
        </w:drawing>
      </w:r>
    </w:p>
    <w:p w:rsidR="00F40EC5" w:rsidRDefault="00AE4278">
      <w:pPr>
        <w:pStyle w:val="5"/>
        <w:spacing w:before="100" w:after="100" w:line="360" w:lineRule="auto"/>
        <w:ind w:firstLineChars="0" w:firstLine="0"/>
        <w:rPr>
          <w:sz w:val="30"/>
          <w:szCs w:val="30"/>
        </w:rPr>
      </w:pPr>
      <w:r>
        <w:rPr>
          <w:rFonts w:hint="eastAsia"/>
          <w:sz w:val="30"/>
          <w:szCs w:val="30"/>
        </w:rPr>
        <w:lastRenderedPageBreak/>
        <w:t>2.5</w:t>
      </w:r>
      <w:r>
        <w:rPr>
          <w:rFonts w:hint="eastAsia"/>
          <w:sz w:val="30"/>
          <w:szCs w:val="30"/>
        </w:rPr>
        <w:t>外单位利用</w:t>
      </w:r>
      <w:r>
        <w:rPr>
          <w:rFonts w:hint="eastAsia"/>
          <w:sz w:val="30"/>
          <w:szCs w:val="30"/>
        </w:rPr>
        <w:t>/</w:t>
      </w:r>
      <w:r>
        <w:rPr>
          <w:rFonts w:hint="eastAsia"/>
          <w:sz w:val="30"/>
          <w:szCs w:val="30"/>
        </w:rPr>
        <w:t>处置</w:t>
      </w:r>
      <w:r>
        <w:rPr>
          <w:rFonts w:hint="eastAsia"/>
          <w:sz w:val="30"/>
          <w:szCs w:val="30"/>
        </w:rPr>
        <w:t>/</w:t>
      </w:r>
      <w:r>
        <w:rPr>
          <w:rFonts w:hint="eastAsia"/>
          <w:sz w:val="30"/>
          <w:szCs w:val="30"/>
        </w:rPr>
        <w:t>贮存信息</w:t>
      </w:r>
    </w:p>
    <w:p w:rsidR="00F40EC5" w:rsidRDefault="00AE4278">
      <w:pPr>
        <w:ind w:firstLine="560"/>
        <w:rPr>
          <w:rFonts w:ascii="仿宋_GB2312" w:eastAsia="仿宋_GB2312" w:hAnsi="仿宋_GB2312" w:cs="仿宋_GB2312"/>
        </w:rPr>
      </w:pPr>
      <w:r>
        <w:rPr>
          <w:rFonts w:ascii="仿宋_GB2312" w:eastAsia="仿宋_GB2312" w:hAnsi="仿宋_GB2312" w:cs="仿宋_GB2312" w:hint="eastAsia"/>
        </w:rPr>
        <w:t>点击“新增”，新增外单位利用</w:t>
      </w:r>
      <w:r>
        <w:rPr>
          <w:rFonts w:ascii="仿宋_GB2312" w:eastAsia="仿宋_GB2312" w:hAnsi="仿宋_GB2312" w:cs="仿宋_GB2312" w:hint="eastAsia"/>
        </w:rPr>
        <w:t>/</w:t>
      </w:r>
      <w:r>
        <w:rPr>
          <w:rFonts w:ascii="仿宋_GB2312" w:eastAsia="仿宋_GB2312" w:hAnsi="仿宋_GB2312" w:cs="仿宋_GB2312" w:hint="eastAsia"/>
        </w:rPr>
        <w:t>处置</w:t>
      </w:r>
      <w:r>
        <w:rPr>
          <w:rFonts w:ascii="仿宋_GB2312" w:eastAsia="仿宋_GB2312" w:hAnsi="仿宋_GB2312" w:cs="仿宋_GB2312" w:hint="eastAsia"/>
        </w:rPr>
        <w:t>/</w:t>
      </w:r>
      <w:r>
        <w:rPr>
          <w:rFonts w:ascii="仿宋_GB2312" w:eastAsia="仿宋_GB2312" w:hAnsi="仿宋_GB2312" w:cs="仿宋_GB2312" w:hint="eastAsia"/>
        </w:rPr>
        <w:t>贮存信息情况，选择废物名称、委托单位类型，点击“选择”接收单位名称，</w:t>
      </w:r>
      <w:r>
        <w:rPr>
          <w:rFonts w:ascii="仿宋_GB2312" w:eastAsia="仿宋_GB2312" w:hAnsi="仿宋_GB2312" w:cs="仿宋_GB2312" w:hint="eastAsia"/>
          <w:b/>
          <w:bCs/>
        </w:rPr>
        <w:t>输入准确的许可证编号，</w:t>
      </w:r>
      <w:r>
        <w:rPr>
          <w:rFonts w:ascii="仿宋_GB2312" w:eastAsia="仿宋_GB2312" w:hAnsi="仿宋_GB2312" w:cs="仿宋_GB2312" w:hint="eastAsia"/>
        </w:rPr>
        <w:t>点击“查询”，选择对应的许可证后，选择该危废利用处置方式后，填写该废物</w:t>
      </w:r>
      <w:r>
        <w:rPr>
          <w:rFonts w:ascii="仿宋_GB2312" w:eastAsia="仿宋_GB2312" w:hAnsi="仿宋_GB2312" w:cs="仿宋_GB2312" w:hint="eastAsia"/>
        </w:rPr>
        <w:t>2023</w:t>
      </w:r>
      <w:r>
        <w:rPr>
          <w:rFonts w:ascii="仿宋_GB2312" w:eastAsia="仿宋_GB2312" w:hAnsi="仿宋_GB2312" w:cs="仿宋_GB2312" w:hint="eastAsia"/>
        </w:rPr>
        <w:t>年利用处置量。依次添加</w:t>
      </w:r>
      <w:r>
        <w:rPr>
          <w:rFonts w:ascii="仿宋_GB2312" w:eastAsia="仿宋_GB2312" w:hAnsi="仿宋_GB2312" w:cs="仿宋_GB2312" w:hint="eastAsia"/>
        </w:rPr>
        <w:t>2023</w:t>
      </w:r>
      <w:r>
        <w:rPr>
          <w:rFonts w:ascii="仿宋_GB2312" w:eastAsia="仿宋_GB2312" w:hAnsi="仿宋_GB2312" w:cs="仿宋_GB2312" w:hint="eastAsia"/>
        </w:rPr>
        <w:t>年废物的转移情况，完成外单位利用</w:t>
      </w:r>
      <w:r>
        <w:rPr>
          <w:rFonts w:ascii="仿宋_GB2312" w:eastAsia="仿宋_GB2312" w:hAnsi="仿宋_GB2312" w:cs="仿宋_GB2312" w:hint="eastAsia"/>
        </w:rPr>
        <w:t>/</w:t>
      </w:r>
      <w:r>
        <w:rPr>
          <w:rFonts w:ascii="仿宋_GB2312" w:eastAsia="仿宋_GB2312" w:hAnsi="仿宋_GB2312" w:cs="仿宋_GB2312" w:hint="eastAsia"/>
        </w:rPr>
        <w:t>处置</w:t>
      </w:r>
      <w:r>
        <w:rPr>
          <w:rFonts w:ascii="仿宋_GB2312" w:eastAsia="仿宋_GB2312" w:hAnsi="仿宋_GB2312" w:cs="仿宋_GB2312" w:hint="eastAsia"/>
        </w:rPr>
        <w:t>/</w:t>
      </w:r>
      <w:r>
        <w:rPr>
          <w:rFonts w:ascii="仿宋_GB2312" w:eastAsia="仿宋_GB2312" w:hAnsi="仿宋_GB2312" w:cs="仿宋_GB2312" w:hint="eastAsia"/>
        </w:rPr>
        <w:t>贮存信</w:t>
      </w:r>
      <w:r>
        <w:rPr>
          <w:rFonts w:ascii="仿宋_GB2312" w:eastAsia="仿宋_GB2312" w:hAnsi="仿宋_GB2312" w:cs="仿宋_GB2312" w:hint="eastAsia"/>
        </w:rPr>
        <w:t>息表。如图：</w:t>
      </w:r>
    </w:p>
    <w:p w:rsidR="00F40EC5" w:rsidRDefault="00AE4278">
      <w:pPr>
        <w:ind w:firstLineChars="0" w:firstLine="0"/>
        <w:jc w:val="center"/>
      </w:pPr>
      <w:r>
        <w:rPr>
          <w:noProof/>
        </w:rPr>
        <w:drawing>
          <wp:inline distT="0" distB="0" distL="114300" distR="114300">
            <wp:extent cx="4482465" cy="2404745"/>
            <wp:effectExtent l="0" t="0" r="13335" b="146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6" cstate="print"/>
                    <a:srcRect l="14890" t="7340"/>
                    <a:stretch>
                      <a:fillRect/>
                    </a:stretch>
                  </pic:blipFill>
                  <pic:spPr>
                    <a:xfrm>
                      <a:off x="0" y="0"/>
                      <a:ext cx="4482465" cy="2404745"/>
                    </a:xfrm>
                    <a:prstGeom prst="rect">
                      <a:avLst/>
                    </a:prstGeom>
                    <a:noFill/>
                    <a:ln>
                      <a:noFill/>
                    </a:ln>
                  </pic:spPr>
                </pic:pic>
              </a:graphicData>
            </a:graphic>
          </wp:inline>
        </w:drawing>
      </w:r>
    </w:p>
    <w:p w:rsidR="00F40EC5" w:rsidRDefault="00AE4278">
      <w:pPr>
        <w:ind w:firstLineChars="0" w:firstLine="0"/>
        <w:jc w:val="center"/>
      </w:pPr>
      <w:r>
        <w:rPr>
          <w:noProof/>
        </w:rPr>
        <w:drawing>
          <wp:inline distT="0" distB="0" distL="114300" distR="114300">
            <wp:extent cx="4475480" cy="2178685"/>
            <wp:effectExtent l="0" t="0" r="1270" b="1206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7" cstate="print"/>
                    <a:srcRect l="15023" t="7610" b="8441"/>
                    <a:stretch>
                      <a:fillRect/>
                    </a:stretch>
                  </pic:blipFill>
                  <pic:spPr>
                    <a:xfrm>
                      <a:off x="0" y="0"/>
                      <a:ext cx="4475480" cy="2178685"/>
                    </a:xfrm>
                    <a:prstGeom prst="rect">
                      <a:avLst/>
                    </a:prstGeom>
                    <a:noFill/>
                    <a:ln>
                      <a:noFill/>
                    </a:ln>
                  </pic:spPr>
                </pic:pic>
              </a:graphicData>
            </a:graphic>
          </wp:inline>
        </w:drawing>
      </w:r>
    </w:p>
    <w:p w:rsidR="00F40EC5" w:rsidRDefault="00AE4278">
      <w:pPr>
        <w:ind w:firstLineChars="0" w:firstLine="0"/>
        <w:jc w:val="center"/>
      </w:pPr>
      <w:r>
        <w:rPr>
          <w:noProof/>
        </w:rPr>
        <w:lastRenderedPageBreak/>
        <w:drawing>
          <wp:inline distT="0" distB="0" distL="114300" distR="114300">
            <wp:extent cx="4474845" cy="2375535"/>
            <wp:effectExtent l="0" t="0" r="1905" b="571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8" cstate="print"/>
                    <a:srcRect l="15035" t="8466"/>
                    <a:stretch>
                      <a:fillRect/>
                    </a:stretch>
                  </pic:blipFill>
                  <pic:spPr>
                    <a:xfrm>
                      <a:off x="0" y="0"/>
                      <a:ext cx="4474845" cy="2375535"/>
                    </a:xfrm>
                    <a:prstGeom prst="rect">
                      <a:avLst/>
                    </a:prstGeom>
                    <a:noFill/>
                    <a:ln>
                      <a:noFill/>
                    </a:ln>
                  </pic:spPr>
                </pic:pic>
              </a:graphicData>
            </a:graphic>
          </wp:inline>
        </w:drawing>
      </w:r>
    </w:p>
    <w:p w:rsidR="00F40EC5" w:rsidRDefault="00AE4278">
      <w:pPr>
        <w:ind w:firstLineChars="0" w:firstLine="0"/>
        <w:jc w:val="center"/>
      </w:pPr>
      <w:r>
        <w:rPr>
          <w:noProof/>
        </w:rPr>
        <w:drawing>
          <wp:inline distT="0" distB="0" distL="114300" distR="114300">
            <wp:extent cx="4462780" cy="1827530"/>
            <wp:effectExtent l="0" t="0" r="13970" b="127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9" cstate="print"/>
                    <a:srcRect l="15182" t="8110"/>
                    <a:stretch>
                      <a:fillRect/>
                    </a:stretch>
                  </pic:blipFill>
                  <pic:spPr>
                    <a:xfrm>
                      <a:off x="0" y="0"/>
                      <a:ext cx="4462780" cy="1827530"/>
                    </a:xfrm>
                    <a:prstGeom prst="rect">
                      <a:avLst/>
                    </a:prstGeom>
                    <a:noFill/>
                    <a:ln>
                      <a:noFill/>
                    </a:ln>
                  </pic:spPr>
                </pic:pic>
              </a:graphicData>
            </a:graphic>
          </wp:inline>
        </w:drawing>
      </w:r>
    </w:p>
    <w:p w:rsidR="00F40EC5" w:rsidRDefault="00AE4278">
      <w:pPr>
        <w:pStyle w:val="5"/>
        <w:spacing w:before="100" w:after="100" w:line="360" w:lineRule="auto"/>
        <w:ind w:firstLineChars="0" w:firstLine="0"/>
        <w:rPr>
          <w:sz w:val="30"/>
          <w:szCs w:val="30"/>
        </w:rPr>
      </w:pPr>
      <w:r>
        <w:rPr>
          <w:rFonts w:hint="eastAsia"/>
          <w:sz w:val="30"/>
          <w:szCs w:val="30"/>
        </w:rPr>
        <w:t>2.6</w:t>
      </w:r>
      <w:r>
        <w:rPr>
          <w:rFonts w:hint="eastAsia"/>
          <w:sz w:val="30"/>
          <w:szCs w:val="30"/>
        </w:rPr>
        <w:t>保存上报</w:t>
      </w:r>
    </w:p>
    <w:p w:rsidR="00F40EC5" w:rsidRDefault="00AE4278">
      <w:pPr>
        <w:ind w:firstLine="560"/>
        <w:rPr>
          <w:rFonts w:ascii="仿宋_GB2312" w:eastAsia="仿宋_GB2312" w:hAnsi="仿宋_GB2312" w:cs="仿宋_GB2312"/>
        </w:rPr>
      </w:pPr>
      <w:r>
        <w:rPr>
          <w:rFonts w:ascii="仿宋_GB2312" w:eastAsia="仿宋_GB2312" w:hAnsi="仿宋_GB2312" w:cs="仿宋_GB2312" w:hint="eastAsia"/>
        </w:rPr>
        <w:t>企业基本信息、危险废物信息、单位内部贮存情况、单位内部利用</w:t>
      </w:r>
      <w:r>
        <w:rPr>
          <w:rFonts w:ascii="仿宋_GB2312" w:eastAsia="仿宋_GB2312" w:hAnsi="仿宋_GB2312" w:cs="仿宋_GB2312" w:hint="eastAsia"/>
        </w:rPr>
        <w:t>/</w:t>
      </w:r>
      <w:r>
        <w:rPr>
          <w:rFonts w:ascii="仿宋_GB2312" w:eastAsia="仿宋_GB2312" w:hAnsi="仿宋_GB2312" w:cs="仿宋_GB2312" w:hint="eastAsia"/>
        </w:rPr>
        <w:t>处置情况和外单位利用</w:t>
      </w:r>
      <w:r>
        <w:rPr>
          <w:rFonts w:ascii="仿宋_GB2312" w:eastAsia="仿宋_GB2312" w:hAnsi="仿宋_GB2312" w:cs="仿宋_GB2312" w:hint="eastAsia"/>
        </w:rPr>
        <w:t>/</w:t>
      </w:r>
      <w:r>
        <w:rPr>
          <w:rFonts w:ascii="仿宋_GB2312" w:eastAsia="仿宋_GB2312" w:hAnsi="仿宋_GB2312" w:cs="仿宋_GB2312" w:hint="eastAsia"/>
        </w:rPr>
        <w:t>处置</w:t>
      </w:r>
      <w:r>
        <w:rPr>
          <w:rFonts w:ascii="仿宋_GB2312" w:eastAsia="仿宋_GB2312" w:hAnsi="仿宋_GB2312" w:cs="仿宋_GB2312" w:hint="eastAsia"/>
        </w:rPr>
        <w:t>/</w:t>
      </w:r>
      <w:r>
        <w:rPr>
          <w:rFonts w:ascii="仿宋_GB2312" w:eastAsia="仿宋_GB2312" w:hAnsi="仿宋_GB2312" w:cs="仿宋_GB2312" w:hint="eastAsia"/>
        </w:rPr>
        <w:t>贮存情况五个表填写完成后，点击“保存”，保存成功后，点击“返回”，选择该年报点击“上报”，上报年报。如图：</w:t>
      </w:r>
    </w:p>
    <w:p w:rsidR="00F40EC5" w:rsidRDefault="00AE4278">
      <w:pPr>
        <w:ind w:firstLineChars="0" w:firstLine="0"/>
        <w:jc w:val="center"/>
      </w:pPr>
      <w:r>
        <w:rPr>
          <w:noProof/>
        </w:rPr>
        <w:lastRenderedPageBreak/>
        <w:drawing>
          <wp:inline distT="0" distB="0" distL="114300" distR="114300">
            <wp:extent cx="4475480" cy="2374900"/>
            <wp:effectExtent l="0" t="0" r="1270"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0" cstate="print"/>
                    <a:srcRect l="15023" t="8490"/>
                    <a:stretch>
                      <a:fillRect/>
                    </a:stretch>
                  </pic:blipFill>
                  <pic:spPr>
                    <a:xfrm>
                      <a:off x="0" y="0"/>
                      <a:ext cx="4475480" cy="2374900"/>
                    </a:xfrm>
                    <a:prstGeom prst="rect">
                      <a:avLst/>
                    </a:prstGeom>
                    <a:noFill/>
                    <a:ln>
                      <a:noFill/>
                    </a:ln>
                  </pic:spPr>
                </pic:pic>
              </a:graphicData>
            </a:graphic>
          </wp:inline>
        </w:drawing>
      </w:r>
    </w:p>
    <w:p w:rsidR="00F40EC5" w:rsidRDefault="00AE4278">
      <w:pPr>
        <w:ind w:firstLineChars="0" w:firstLine="0"/>
        <w:jc w:val="center"/>
      </w:pPr>
      <w:r>
        <w:rPr>
          <w:noProof/>
        </w:rPr>
        <w:drawing>
          <wp:inline distT="0" distB="0" distL="114300" distR="114300">
            <wp:extent cx="4453255" cy="2383155"/>
            <wp:effectExtent l="0" t="0" r="4445" b="1714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1" cstate="print"/>
                    <a:srcRect l="15445" t="8172"/>
                    <a:stretch>
                      <a:fillRect/>
                    </a:stretch>
                  </pic:blipFill>
                  <pic:spPr>
                    <a:xfrm>
                      <a:off x="0" y="0"/>
                      <a:ext cx="4453255" cy="2383155"/>
                    </a:xfrm>
                    <a:prstGeom prst="rect">
                      <a:avLst/>
                    </a:prstGeom>
                    <a:noFill/>
                    <a:ln>
                      <a:noFill/>
                    </a:ln>
                  </pic:spPr>
                </pic:pic>
              </a:graphicData>
            </a:graphic>
          </wp:inline>
        </w:drawing>
      </w:r>
    </w:p>
    <w:p w:rsidR="00F40EC5" w:rsidRDefault="00AE4278">
      <w:pPr>
        <w:ind w:firstLineChars="0" w:firstLine="0"/>
        <w:jc w:val="center"/>
      </w:pPr>
      <w:r>
        <w:rPr>
          <w:noProof/>
        </w:rPr>
        <w:drawing>
          <wp:inline distT="0" distB="0" distL="114300" distR="114300">
            <wp:extent cx="4451985" cy="1235710"/>
            <wp:effectExtent l="0" t="0" r="5715" b="254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2" cstate="print"/>
                    <a:srcRect l="15336" t="13357"/>
                    <a:stretch>
                      <a:fillRect/>
                    </a:stretch>
                  </pic:blipFill>
                  <pic:spPr>
                    <a:xfrm>
                      <a:off x="0" y="0"/>
                      <a:ext cx="4451985" cy="1235710"/>
                    </a:xfrm>
                    <a:prstGeom prst="rect">
                      <a:avLst/>
                    </a:prstGeom>
                    <a:noFill/>
                    <a:ln>
                      <a:noFill/>
                    </a:ln>
                  </pic:spPr>
                </pic:pic>
              </a:graphicData>
            </a:graphic>
          </wp:inline>
        </w:drawing>
      </w:r>
    </w:p>
    <w:sectPr w:rsidR="00F40EC5" w:rsidSect="00F40EC5">
      <w:headerReference w:type="even" r:id="rId23"/>
      <w:headerReference w:type="default" r:id="rId24"/>
      <w:footerReference w:type="even" r:id="rId25"/>
      <w:footerReference w:type="default" r:id="rId26"/>
      <w:headerReference w:type="first" r:id="rId27"/>
      <w:footerReference w:type="first" r:id="rId28"/>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4278" w:rsidRDefault="00AE4278">
      <w:pPr>
        <w:spacing w:line="240" w:lineRule="auto"/>
        <w:ind w:firstLine="560"/>
      </w:pPr>
      <w:r>
        <w:separator/>
      </w:r>
    </w:p>
  </w:endnote>
  <w:endnote w:type="continuationSeparator" w:id="0">
    <w:p w:rsidR="00AE4278" w:rsidRDefault="00AE4278">
      <w:pPr>
        <w:spacing w:line="240" w:lineRule="auto"/>
        <w:ind w:firstLine="56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仿宋_GB2312">
    <w:altName w:val="微软雅黑"/>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7E19" w:rsidRDefault="00317E19" w:rsidP="00317E19">
    <w:pPr>
      <w:pStyle w:val="a4"/>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7E19" w:rsidRDefault="00317E19" w:rsidP="00317E19">
    <w:pPr>
      <w:pStyle w:val="a4"/>
      <w:ind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7E19" w:rsidRDefault="00317E19" w:rsidP="00317E19">
    <w:pPr>
      <w:pStyle w:val="a4"/>
      <w:ind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4278" w:rsidRDefault="00AE4278">
      <w:pPr>
        <w:ind w:firstLine="560"/>
      </w:pPr>
      <w:r>
        <w:separator/>
      </w:r>
    </w:p>
  </w:footnote>
  <w:footnote w:type="continuationSeparator" w:id="0">
    <w:p w:rsidR="00AE4278" w:rsidRDefault="00AE4278">
      <w:pPr>
        <w:ind w:firstLine="56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7E19" w:rsidRDefault="00317E19" w:rsidP="00317E19">
    <w:pPr>
      <w:pStyle w:val="a3"/>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7E19" w:rsidRDefault="00317E19" w:rsidP="00317E19">
    <w:pPr>
      <w:pStyle w:val="a3"/>
      <w:ind w:firstLine="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7E19" w:rsidRDefault="00317E19" w:rsidP="00317E19">
    <w:pPr>
      <w:pStyle w:val="a3"/>
      <w:ind w:firstLine="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85CB579"/>
    <w:multiLevelType w:val="singleLevel"/>
    <w:tmpl w:val="B85CB579"/>
    <w:lvl w:ilvl="0">
      <w:start w:val="1"/>
      <w:numFmt w:val="chineseCounting"/>
      <w:suff w:val="nothing"/>
      <w:lvlText w:val="%1、"/>
      <w:lvlJc w:val="left"/>
      <w:rPr>
        <w:rFonts w:hint="eastAsia"/>
      </w:rPr>
    </w:lvl>
  </w:abstractNum>
  <w:abstractNum w:abstractNumId="1">
    <w:nsid w:val="BED3D4F5"/>
    <w:multiLevelType w:val="singleLevel"/>
    <w:tmpl w:val="BED3D4F5"/>
    <w:lvl w:ilvl="0">
      <w:start w:val="1"/>
      <w:numFmt w:val="decimal"/>
      <w:suff w:val="nothing"/>
      <w:lvlText w:val="%1、"/>
      <w:lvlJc w:val="left"/>
    </w:lvl>
  </w:abstractNum>
  <w:abstractNum w:abstractNumId="2">
    <w:nsid w:val="FA60B37D"/>
    <w:multiLevelType w:val="singleLevel"/>
    <w:tmpl w:val="FA60B37D"/>
    <w:lvl w:ilvl="0">
      <w:start w:val="1"/>
      <w:numFmt w:val="decimal"/>
      <w:suff w:val="nothing"/>
      <w:lvlText w:val="%1、"/>
      <w:lvlJc w:val="left"/>
    </w:lvl>
  </w:abstractNum>
  <w:abstractNum w:abstractNumId="3">
    <w:nsid w:val="5D43C672"/>
    <w:multiLevelType w:val="singleLevel"/>
    <w:tmpl w:val="5D43C672"/>
    <w:lvl w:ilvl="0">
      <w:start w:val="1"/>
      <w:numFmt w:val="decimal"/>
      <w:suff w:val="nothing"/>
      <w:lvlText w:val="%1、"/>
      <w:lvlJc w:val="left"/>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SystemFonts/>
  <w:proofState w:spelling="clean"/>
  <w:defaultTabStop w:val="420"/>
  <w:drawingGridVerticalSpacing w:val="156"/>
  <w:noPunctuationKerning/>
  <w:characterSpacingControl w:val="compressPunctuation"/>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
  <w:docVars>
    <w:docVar w:name="commondata" w:val="eyJoZGlkIjoiYTUzZjYyM2I5OWQyZDgxYTczOTg1ZThhY2ZmN2I0M2IifQ=="/>
  </w:docVars>
  <w:rsids>
    <w:rsidRoot w:val="56A0715C"/>
    <w:rsid w:val="00317E19"/>
    <w:rsid w:val="00AE4278"/>
    <w:rsid w:val="00F40EC5"/>
    <w:rsid w:val="01EF4FDF"/>
    <w:rsid w:val="01FF29E1"/>
    <w:rsid w:val="07414C7E"/>
    <w:rsid w:val="09E820F6"/>
    <w:rsid w:val="0D097E0E"/>
    <w:rsid w:val="0D12606E"/>
    <w:rsid w:val="0D555C0F"/>
    <w:rsid w:val="10280686"/>
    <w:rsid w:val="14185853"/>
    <w:rsid w:val="14E32350"/>
    <w:rsid w:val="14F25A57"/>
    <w:rsid w:val="155E02D8"/>
    <w:rsid w:val="17E652B2"/>
    <w:rsid w:val="1B1B18E7"/>
    <w:rsid w:val="1BDD0947"/>
    <w:rsid w:val="1CE5443E"/>
    <w:rsid w:val="1D261C54"/>
    <w:rsid w:val="2134013E"/>
    <w:rsid w:val="252E6CC5"/>
    <w:rsid w:val="288A0284"/>
    <w:rsid w:val="297B5976"/>
    <w:rsid w:val="2B800CED"/>
    <w:rsid w:val="2F3A425D"/>
    <w:rsid w:val="324320C9"/>
    <w:rsid w:val="32C91A1F"/>
    <w:rsid w:val="33B158EA"/>
    <w:rsid w:val="3B88671C"/>
    <w:rsid w:val="3B933504"/>
    <w:rsid w:val="3C1A1D61"/>
    <w:rsid w:val="3FF0304A"/>
    <w:rsid w:val="42591237"/>
    <w:rsid w:val="44886FC7"/>
    <w:rsid w:val="449B60F5"/>
    <w:rsid w:val="44F53FBC"/>
    <w:rsid w:val="4509767D"/>
    <w:rsid w:val="45B649D4"/>
    <w:rsid w:val="45EA1A0A"/>
    <w:rsid w:val="45EF21E4"/>
    <w:rsid w:val="4E3046D1"/>
    <w:rsid w:val="4E4D012B"/>
    <w:rsid w:val="52F3419D"/>
    <w:rsid w:val="56A0715C"/>
    <w:rsid w:val="56FC457B"/>
    <w:rsid w:val="572677FF"/>
    <w:rsid w:val="59013B6B"/>
    <w:rsid w:val="594902D2"/>
    <w:rsid w:val="5CCA3A73"/>
    <w:rsid w:val="5D524382"/>
    <w:rsid w:val="61300977"/>
    <w:rsid w:val="63235888"/>
    <w:rsid w:val="64053BB4"/>
    <w:rsid w:val="646B389D"/>
    <w:rsid w:val="66BF6E38"/>
    <w:rsid w:val="695C39FC"/>
    <w:rsid w:val="6C47282A"/>
    <w:rsid w:val="6F23253B"/>
    <w:rsid w:val="70C755AC"/>
    <w:rsid w:val="745413E9"/>
    <w:rsid w:val="76B64A93"/>
    <w:rsid w:val="76DA2E2B"/>
    <w:rsid w:val="799A028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unhideWhenUsed="1" w:qFormat="1"/>
    <w:lsdException w:name="heading 5"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40EC5"/>
    <w:pPr>
      <w:widowControl w:val="0"/>
      <w:spacing w:line="360" w:lineRule="auto"/>
      <w:ind w:firstLineChars="200" w:firstLine="643"/>
      <w:jc w:val="both"/>
    </w:pPr>
    <w:rPr>
      <w:rFonts w:asciiTheme="minorHAnsi" w:eastAsiaTheme="minorEastAsia" w:hAnsiTheme="minorHAnsi" w:cstheme="minorBidi"/>
      <w:kern w:val="2"/>
      <w:sz w:val="28"/>
      <w:szCs w:val="24"/>
    </w:rPr>
  </w:style>
  <w:style w:type="paragraph" w:styleId="1">
    <w:name w:val="heading 1"/>
    <w:basedOn w:val="a"/>
    <w:next w:val="a"/>
    <w:qFormat/>
    <w:rsid w:val="00F40EC5"/>
    <w:pPr>
      <w:keepNext/>
      <w:keepLines/>
      <w:spacing w:line="576" w:lineRule="auto"/>
      <w:outlineLvl w:val="0"/>
    </w:pPr>
    <w:rPr>
      <w:b/>
      <w:kern w:val="44"/>
      <w:sz w:val="44"/>
    </w:rPr>
  </w:style>
  <w:style w:type="paragraph" w:styleId="2">
    <w:name w:val="heading 2"/>
    <w:basedOn w:val="a"/>
    <w:next w:val="a"/>
    <w:unhideWhenUsed/>
    <w:qFormat/>
    <w:rsid w:val="00F40EC5"/>
    <w:pPr>
      <w:keepNext/>
      <w:keepLines/>
      <w:spacing w:line="413" w:lineRule="auto"/>
      <w:outlineLvl w:val="1"/>
    </w:pPr>
    <w:rPr>
      <w:rFonts w:ascii="Arial" w:eastAsia="黑体" w:hAnsi="Arial"/>
      <w:b/>
      <w:sz w:val="44"/>
    </w:rPr>
  </w:style>
  <w:style w:type="paragraph" w:styleId="3">
    <w:name w:val="heading 3"/>
    <w:basedOn w:val="a"/>
    <w:next w:val="a"/>
    <w:unhideWhenUsed/>
    <w:qFormat/>
    <w:rsid w:val="00F40EC5"/>
    <w:pPr>
      <w:keepNext/>
      <w:keepLines/>
      <w:spacing w:line="413" w:lineRule="auto"/>
      <w:ind w:firstLineChars="0" w:firstLine="0"/>
      <w:outlineLvl w:val="2"/>
    </w:pPr>
    <w:rPr>
      <w:b/>
      <w:sz w:val="32"/>
    </w:rPr>
  </w:style>
  <w:style w:type="paragraph" w:styleId="4">
    <w:name w:val="heading 4"/>
    <w:basedOn w:val="a"/>
    <w:next w:val="a"/>
    <w:unhideWhenUsed/>
    <w:qFormat/>
    <w:rsid w:val="00F40EC5"/>
    <w:pPr>
      <w:keepNext/>
      <w:keepLines/>
      <w:spacing w:line="372" w:lineRule="auto"/>
      <w:ind w:firstLineChars="0" w:firstLine="0"/>
      <w:outlineLvl w:val="3"/>
    </w:pPr>
    <w:rPr>
      <w:rFonts w:ascii="Arial" w:eastAsia="黑体" w:hAnsi="Arial"/>
      <w:b/>
      <w:sz w:val="32"/>
    </w:rPr>
  </w:style>
  <w:style w:type="paragraph" w:styleId="5">
    <w:name w:val="heading 5"/>
    <w:basedOn w:val="a"/>
    <w:next w:val="a"/>
    <w:unhideWhenUsed/>
    <w:qFormat/>
    <w:rsid w:val="00F40EC5"/>
    <w:pPr>
      <w:keepNext/>
      <w:keepLines/>
      <w:spacing w:line="372" w:lineRule="auto"/>
      <w:outlineLvl w:val="4"/>
    </w:pPr>
    <w:rPr>
      <w:rFonts w:eastAsia="楷体"/>
      <w:b/>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317E19"/>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
    <w:name w:val="页眉 Char"/>
    <w:basedOn w:val="a0"/>
    <w:link w:val="a3"/>
    <w:rsid w:val="00317E19"/>
    <w:rPr>
      <w:rFonts w:asciiTheme="minorHAnsi" w:eastAsiaTheme="minorEastAsia" w:hAnsiTheme="minorHAnsi" w:cstheme="minorBidi"/>
      <w:kern w:val="2"/>
      <w:sz w:val="18"/>
      <w:szCs w:val="18"/>
    </w:rPr>
  </w:style>
  <w:style w:type="paragraph" w:styleId="a4">
    <w:name w:val="footer"/>
    <w:basedOn w:val="a"/>
    <w:link w:val="Char0"/>
    <w:rsid w:val="00317E19"/>
    <w:pPr>
      <w:tabs>
        <w:tab w:val="center" w:pos="4153"/>
        <w:tab w:val="right" w:pos="8306"/>
      </w:tabs>
      <w:snapToGrid w:val="0"/>
      <w:spacing w:line="240" w:lineRule="auto"/>
      <w:jc w:val="left"/>
    </w:pPr>
    <w:rPr>
      <w:sz w:val="18"/>
      <w:szCs w:val="18"/>
    </w:rPr>
  </w:style>
  <w:style w:type="character" w:customStyle="1" w:styleId="Char0">
    <w:name w:val="页脚 Char"/>
    <w:basedOn w:val="a0"/>
    <w:link w:val="a4"/>
    <w:rsid w:val="00317E19"/>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9</Pages>
  <Words>304</Words>
  <Characters>1738</Characters>
  <Application>Microsoft Office Word</Application>
  <DocSecurity>0</DocSecurity>
  <Lines>14</Lines>
  <Paragraphs>4</Paragraphs>
  <ScaleCrop>false</ScaleCrop>
  <Company/>
  <LinksUpToDate>false</LinksUpToDate>
  <CharactersWithSpaces>2038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ฅฅ</dc:creator>
  <cp:lastModifiedBy>Administrator</cp:lastModifiedBy>
  <cp:revision>2</cp:revision>
  <cp:lastPrinted>2023-02-08T08:00:00Z</cp:lastPrinted>
  <dcterms:created xsi:type="dcterms:W3CDTF">2022-02-07T01:37:00Z</dcterms:created>
  <dcterms:modified xsi:type="dcterms:W3CDTF">2024-01-16T08:07:00Z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5C9FDD920D1B4C8D8AF129A46FA363F0</vt:lpwstr>
  </property>
</Properties>
</file>