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AAF81">
      <w:pPr>
        <w:keepNext w:val="0"/>
        <w:keepLines w:val="0"/>
        <w:pageBreakBefore w:val="0"/>
        <w:widowControl w:val="0"/>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宜阳县</w:t>
      </w:r>
      <w:r>
        <w:rPr>
          <w:rFonts w:hint="eastAsia" w:ascii="Times New Roman" w:hAnsi="Times New Roman" w:eastAsia="方正小标宋简体" w:cs="Times New Roman"/>
          <w:sz w:val="44"/>
          <w:szCs w:val="44"/>
          <w:lang w:val="en-US" w:eastAsia="zh-CN"/>
        </w:rPr>
        <w:t>县级</w:t>
      </w:r>
      <w:r>
        <w:rPr>
          <w:rFonts w:hint="default" w:ascii="Times New Roman" w:hAnsi="Times New Roman" w:eastAsia="方正小标宋简体" w:cs="Times New Roman"/>
          <w:sz w:val="44"/>
          <w:szCs w:val="44"/>
        </w:rPr>
        <w:t>行政事业单位国有</w:t>
      </w:r>
      <w:r>
        <w:rPr>
          <w:rFonts w:hint="default" w:ascii="Times New Roman" w:hAnsi="Times New Roman" w:eastAsia="方正小标宋简体" w:cs="Times New Roman"/>
          <w:sz w:val="44"/>
          <w:szCs w:val="44"/>
          <w:lang w:val="en-US" w:eastAsia="zh-CN"/>
        </w:rPr>
        <w:t>资产对外有偿</w:t>
      </w:r>
    </w:p>
    <w:p w14:paraId="3D0B84E6">
      <w:pPr>
        <w:keepNext w:val="0"/>
        <w:keepLines w:val="0"/>
        <w:pageBreakBefore w:val="0"/>
        <w:widowControl w:val="0"/>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使用管理办法</w:t>
      </w:r>
      <w:r>
        <w:rPr>
          <w:rFonts w:hint="eastAsia" w:ascii="Times New Roman" w:hAnsi="Times New Roman" w:eastAsia="方正小标宋简体" w:cs="Times New Roman"/>
          <w:sz w:val="44"/>
          <w:szCs w:val="44"/>
          <w:lang w:val="en-US" w:eastAsia="zh-CN"/>
        </w:rPr>
        <w:t>（征求意见稿）</w:t>
      </w:r>
      <w:bookmarkStart w:id="0" w:name="_GoBack"/>
      <w:bookmarkEnd w:id="0"/>
    </w:p>
    <w:p w14:paraId="489800E7">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420" w:firstLineChars="200"/>
        <w:jc w:val="both"/>
        <w:textAlignment w:val="center"/>
        <w:rPr>
          <w:rFonts w:hint="default" w:ascii="Times New Roman" w:hAnsi="Times New Roman" w:cs="Times New Roman"/>
        </w:rPr>
      </w:pPr>
    </w:p>
    <w:p w14:paraId="79DE1FF4">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黑体" w:cs="Times New Roman"/>
          <w:snapToGrid w:val="0"/>
          <w:color w:val="000000"/>
          <w:kern w:val="0"/>
          <w:sz w:val="32"/>
          <w:szCs w:val="32"/>
          <w:lang w:val="en-US" w:eastAsia="en-US" w:bidi="ar-SA"/>
        </w:rPr>
      </w:pPr>
      <w:r>
        <w:rPr>
          <w:rFonts w:hint="default" w:ascii="Times New Roman" w:hAnsi="Times New Roman" w:eastAsia="黑体" w:cs="Times New Roman"/>
          <w:snapToGrid w:val="0"/>
          <w:color w:val="000000"/>
          <w:kern w:val="0"/>
          <w:sz w:val="32"/>
          <w:szCs w:val="32"/>
          <w:lang w:val="en-US" w:eastAsia="en-US" w:bidi="ar-SA"/>
        </w:rPr>
        <w:t>总</w:t>
      </w:r>
      <w:r>
        <w:rPr>
          <w:rFonts w:hint="default" w:ascii="Times New Roman" w:hAnsi="Times New Roman" w:eastAsia="黑体" w:cs="Times New Roman"/>
          <w:snapToGrid w:val="0"/>
          <w:color w:val="000000"/>
          <w:kern w:val="0"/>
          <w:sz w:val="32"/>
          <w:szCs w:val="32"/>
          <w:lang w:val="en-US" w:eastAsia="zh-CN" w:bidi="ar-SA"/>
        </w:rPr>
        <w:t xml:space="preserve">  </w:t>
      </w:r>
      <w:r>
        <w:rPr>
          <w:rFonts w:hint="default" w:ascii="Times New Roman" w:hAnsi="Times New Roman" w:eastAsia="黑体" w:cs="Times New Roman"/>
          <w:snapToGrid w:val="0"/>
          <w:color w:val="000000"/>
          <w:kern w:val="0"/>
          <w:sz w:val="32"/>
          <w:szCs w:val="32"/>
          <w:lang w:val="en-US" w:eastAsia="en-US" w:bidi="ar-SA"/>
        </w:rPr>
        <w:t>则</w:t>
      </w:r>
    </w:p>
    <w:p w14:paraId="598CEBA3">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为贯彻落实党政机关过紧日子要求，有效盘活利用闲置国有资产，进一步规范</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行政事业单位国有资产对外有偿使用管理，确保国有资产保值增值，根据《行政事业性国有资产管理条例》《河南省事业单位改革发展条例》《河南省行政事业单位国有资产管理办法》《河南省省级行政事业单位国有资产对外有偿使用管理办法》《</w:t>
      </w:r>
      <w:r>
        <w:rPr>
          <w:rFonts w:hint="default" w:ascii="Times New Roman" w:hAnsi="Times New Roman" w:eastAsia="仿宋_GB2312" w:cs="Times New Roman"/>
          <w:sz w:val="32"/>
          <w:szCs w:val="32"/>
          <w:lang w:val="en-US" w:eastAsia="zh-CN"/>
        </w:rPr>
        <w:t>洛阳市市级</w:t>
      </w:r>
      <w:r>
        <w:rPr>
          <w:rFonts w:hint="default" w:ascii="Times New Roman" w:hAnsi="Times New Roman" w:eastAsia="仿宋_GB2312" w:cs="Times New Roman"/>
          <w:sz w:val="32"/>
          <w:szCs w:val="32"/>
        </w:rPr>
        <w:t>行政事业单位国有资产对外有偿使用管理办法》等有关规定，结合本</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实际，制定本办法</w:t>
      </w:r>
      <w:r>
        <w:rPr>
          <w:rFonts w:hint="default" w:ascii="Times New Roman" w:hAnsi="Times New Roman" w:eastAsia="仿宋_GB2312" w:cs="Times New Roman"/>
          <w:sz w:val="32"/>
          <w:szCs w:val="32"/>
          <w:lang w:eastAsia="zh-CN"/>
        </w:rPr>
        <w:t>。</w:t>
      </w:r>
    </w:p>
    <w:p w14:paraId="26C9915D">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第二条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本办法适用于</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级党的机关、人大机关、行政机关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政协机关、监察机关、人民团体机关和执行政府会计制度的事业单位(以下统称行政事业单位)。</w:t>
      </w:r>
    </w:p>
    <w:p w14:paraId="7C04C52B">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第三条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sz w:val="32"/>
          <w:szCs w:val="32"/>
        </w:rPr>
        <w:t>本办法所称国有资产对外有偿使用，是指行政事业单位在确保本单位正常履行工作职责、且直接支配的国有资产在行政事业单位之间无法调剂使用的前提下，按照国家和省市有关规定，行政单位将闲置国有资产以出租、出借或者事业单位将闲置国有资产以出租、出借、对外投资(投资、入股、合资、联营等)、担保等方式取得收入的行为。</w:t>
      </w:r>
    </w:p>
    <w:p w14:paraId="3876DB74">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第四条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行政事业单位改变国有资产配置用途，将国有资产对外有偿使用的，应当严格按照本办法规定的程序和权限进行报批或者备案。未经批准行政事业单位不得以任何形式将国有资产对外有偿使用。</w:t>
      </w:r>
    </w:p>
    <w:p w14:paraId="63E8B40B">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第五条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国有资产对外有偿使用遵循权属清晰、高效使用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投资回报、风险控制和跟踪管理的原则。</w:t>
      </w:r>
    </w:p>
    <w:p w14:paraId="5F76E31A">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行政事业单位将国有资产对外有偿使用，在符合国家和省市有关规定的前提下，应当进行必要的可行性论证和集体决策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确保国有资产保值增值。</w:t>
      </w:r>
    </w:p>
    <w:p w14:paraId="4DA3C199">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第六条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行政事业单位对外有偿使用的国有资产应当为本单位直接支配且无产权纠纷的国有资产。</w:t>
      </w:r>
    </w:p>
    <w:p w14:paraId="10FB20A1">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第七条</w:t>
      </w:r>
      <w:r>
        <w:rPr>
          <w:rFonts w:hint="default" w:ascii="Times New Roman" w:hAnsi="Times New Roman" w:eastAsia="仿宋_GB2312" w:cs="Times New Roman"/>
          <w:sz w:val="32"/>
          <w:szCs w:val="32"/>
          <w:lang w:val="en-US" w:eastAsia="zh-CN"/>
        </w:rPr>
        <w:t xml:space="preserve"> 县</w:t>
      </w:r>
      <w:r>
        <w:rPr>
          <w:rFonts w:hint="default" w:ascii="Times New Roman" w:hAnsi="Times New Roman" w:eastAsia="仿宋_GB2312" w:cs="Times New Roman"/>
          <w:sz w:val="32"/>
          <w:szCs w:val="32"/>
        </w:rPr>
        <w:t>财政局是管理行政事业单位国有资产对外有偿使用的职能部门，负责制定行政事业单位国有资产对外有偿使用制度，对国有资产对外有偿使用、收入收缴和绩效评价等活动进行全过程管理和监督。</w:t>
      </w:r>
    </w:p>
    <w:p w14:paraId="4638796E">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根据工作需要，</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财政局可以将国有资产对外有偿使用管理部分工作交由有关单位完成。有关单位应当完成交办的国有资产管理工作，向</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财政局负责并报告工作完成情况。</w:t>
      </w:r>
    </w:p>
    <w:p w14:paraId="129C32EE">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第八条</w:t>
      </w:r>
      <w:r>
        <w:rPr>
          <w:rFonts w:hint="default" w:ascii="Times New Roman" w:hAnsi="Times New Roman" w:eastAsia="仿宋_GB2312" w:cs="Times New Roman"/>
          <w:sz w:val="32"/>
          <w:szCs w:val="32"/>
          <w:lang w:val="en-US" w:eastAsia="zh-CN"/>
        </w:rPr>
        <w:t xml:space="preserve"> 县</w:t>
      </w:r>
      <w:r>
        <w:rPr>
          <w:rFonts w:hint="default" w:ascii="Times New Roman" w:hAnsi="Times New Roman" w:eastAsia="仿宋_GB2312" w:cs="Times New Roman"/>
          <w:sz w:val="32"/>
          <w:szCs w:val="32"/>
        </w:rPr>
        <w:t>财政局应当推行国有资产对外有偿使用业务网上办理，依托信息化手段进行全流程动态监管。行政事业单位及其主管部门应当按照</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财政局要求在资产管理信息系统中及时反映国有资产对外有偿使用相关信息，并确保数据的真实性、完整性和有效性。</w:t>
      </w:r>
    </w:p>
    <w:p w14:paraId="41B866F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黑体" w:cs="Times New Roman"/>
          <w:snapToGrid w:val="0"/>
          <w:color w:val="000000"/>
          <w:kern w:val="0"/>
          <w:sz w:val="32"/>
          <w:szCs w:val="32"/>
          <w:lang w:val="en-US" w:eastAsia="en-US" w:bidi="ar-SA"/>
        </w:rPr>
      </w:pPr>
    </w:p>
    <w:p w14:paraId="534BC03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黑体" w:cs="Times New Roman"/>
          <w:snapToGrid w:val="0"/>
          <w:color w:val="000000"/>
          <w:kern w:val="0"/>
          <w:sz w:val="32"/>
          <w:szCs w:val="32"/>
          <w:lang w:val="en-US" w:eastAsia="en-US" w:bidi="ar-SA"/>
        </w:rPr>
      </w:pPr>
      <w:r>
        <w:rPr>
          <w:rFonts w:hint="default" w:ascii="Times New Roman" w:hAnsi="Times New Roman" w:eastAsia="黑体" w:cs="Times New Roman"/>
          <w:snapToGrid w:val="0"/>
          <w:color w:val="000000"/>
          <w:kern w:val="0"/>
          <w:sz w:val="32"/>
          <w:szCs w:val="32"/>
          <w:lang w:val="en-US" w:eastAsia="en-US" w:bidi="ar-SA"/>
        </w:rPr>
        <w:t>第二章</w:t>
      </w:r>
      <w:r>
        <w:rPr>
          <w:rFonts w:hint="default" w:ascii="Times New Roman" w:hAnsi="Times New Roman" w:eastAsia="黑体" w:cs="Times New Roman"/>
          <w:snapToGrid w:val="0"/>
          <w:color w:val="000000"/>
          <w:kern w:val="0"/>
          <w:sz w:val="32"/>
          <w:szCs w:val="32"/>
          <w:lang w:val="en-US" w:eastAsia="zh-CN" w:bidi="ar-SA"/>
        </w:rPr>
        <w:t xml:space="preserve"> </w:t>
      </w:r>
      <w:r>
        <w:rPr>
          <w:rFonts w:hint="default" w:ascii="Times New Roman" w:hAnsi="Times New Roman" w:eastAsia="黑体" w:cs="Times New Roman"/>
          <w:snapToGrid w:val="0"/>
          <w:color w:val="000000"/>
          <w:kern w:val="0"/>
          <w:sz w:val="32"/>
          <w:szCs w:val="32"/>
          <w:lang w:val="en-US" w:eastAsia="en-US" w:bidi="ar-SA"/>
        </w:rPr>
        <w:t>出租、出借</w:t>
      </w:r>
    </w:p>
    <w:p w14:paraId="0D03ADB8">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第九条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持续时间在6个月以内(含6个月)的国有资产出租</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出借事项为短期出租、出借。持续时间超过6个月的国有资产出租、出借事项为长期出租、出借。</w:t>
      </w:r>
    </w:p>
    <w:p w14:paraId="1B2B18C7">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第十条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行政事业单位国有资产出租、出借应当履行以下报批程序：</w:t>
      </w:r>
    </w:p>
    <w:p w14:paraId="155D5D05">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行政事业单位国有资产长期出租、出借事项，经其主管部门审核、</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机关事务</w:t>
      </w:r>
      <w:r>
        <w:rPr>
          <w:rFonts w:hint="default" w:ascii="Times New Roman" w:hAnsi="Times New Roman" w:eastAsia="仿宋_GB2312" w:cs="Times New Roman"/>
          <w:sz w:val="32"/>
          <w:szCs w:val="32"/>
          <w:lang w:val="en-US" w:eastAsia="zh-CN"/>
        </w:rPr>
        <w:t>服务中心</w:t>
      </w:r>
      <w:r>
        <w:rPr>
          <w:rFonts w:hint="default" w:ascii="Times New Roman" w:hAnsi="Times New Roman" w:eastAsia="仿宋_GB2312" w:cs="Times New Roman"/>
          <w:sz w:val="32"/>
          <w:szCs w:val="32"/>
        </w:rPr>
        <w:t>同意后报</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财政局审批。对符合本办法规定的出租、出借事项，</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财政局应当在收到完整申报材料之日起15个工作日内作出批复。</w:t>
      </w:r>
    </w:p>
    <w:p w14:paraId="59F5FD9F">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事业单位国有资产短期出租、出借事项由其主管部门审批，对符合本办法规定的出租、出借事项，主管部门应当在收到完整申报材料之日起15个工作日内作出批复。主管部门应当在批复后40个工作日内将审批及出租、出借情况报</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财政局备案。</w:t>
      </w:r>
    </w:p>
    <w:p w14:paraId="5C0CE926">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（三）县</w:t>
      </w:r>
      <w:r>
        <w:rPr>
          <w:rFonts w:hint="default" w:ascii="Times New Roman" w:hAnsi="Times New Roman" w:eastAsia="仿宋_GB2312" w:cs="Times New Roman"/>
          <w:sz w:val="32"/>
          <w:szCs w:val="32"/>
        </w:rPr>
        <w:t>直</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乡（镇）人民政府、街道办事处、</w:t>
      </w:r>
      <w:r>
        <w:rPr>
          <w:rFonts w:hint="default" w:ascii="Times New Roman" w:hAnsi="Times New Roman" w:eastAsia="仿宋_GB2312" w:cs="Times New Roman"/>
          <w:sz w:val="32"/>
          <w:szCs w:val="32"/>
        </w:rPr>
        <w:t>参照公务员法管理单位及公益一类事业单位国有土地及其地上建筑物(含构筑物)确需出租、出借的，应当经</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机关事务</w:t>
      </w:r>
      <w:r>
        <w:rPr>
          <w:rFonts w:hint="default" w:ascii="Times New Roman" w:hAnsi="Times New Roman" w:eastAsia="仿宋_GB2312" w:cs="Times New Roman"/>
          <w:sz w:val="32"/>
          <w:szCs w:val="32"/>
          <w:lang w:val="en-US" w:eastAsia="zh-CN"/>
        </w:rPr>
        <w:t>服务中心</w:t>
      </w:r>
      <w:r>
        <w:rPr>
          <w:rFonts w:hint="default" w:ascii="Times New Roman" w:hAnsi="Times New Roman" w:eastAsia="仿宋_GB2312" w:cs="Times New Roman"/>
          <w:sz w:val="32"/>
          <w:szCs w:val="32"/>
        </w:rPr>
        <w:t>审核后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财政局审批。</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机关事务</w:t>
      </w:r>
      <w:r>
        <w:rPr>
          <w:rFonts w:hint="default" w:ascii="Times New Roman" w:hAnsi="Times New Roman" w:eastAsia="仿宋_GB2312" w:cs="Times New Roman"/>
          <w:sz w:val="32"/>
          <w:szCs w:val="32"/>
          <w:lang w:val="en-US" w:eastAsia="zh-CN"/>
        </w:rPr>
        <w:t>服务中心</w:t>
      </w:r>
      <w:r>
        <w:rPr>
          <w:rFonts w:hint="default" w:ascii="Times New Roman" w:hAnsi="Times New Roman" w:eastAsia="仿宋_GB2312" w:cs="Times New Roman"/>
          <w:sz w:val="32"/>
          <w:szCs w:val="32"/>
        </w:rPr>
        <w:t>应当在收到单位申请之日起15个工作日内，就相关资产能否调剂使用提出书面审核意见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产权登记在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机关事务</w:t>
      </w:r>
      <w:r>
        <w:rPr>
          <w:rFonts w:hint="default" w:ascii="Times New Roman" w:hAnsi="Times New Roman" w:eastAsia="仿宋_GB2312" w:cs="Times New Roman"/>
          <w:sz w:val="32"/>
          <w:szCs w:val="32"/>
          <w:lang w:val="en-US" w:eastAsia="zh-CN"/>
        </w:rPr>
        <w:t>服务中心</w:t>
      </w:r>
      <w:r>
        <w:rPr>
          <w:rFonts w:hint="default" w:ascii="Times New Roman" w:hAnsi="Times New Roman" w:eastAsia="仿宋_GB2312" w:cs="Times New Roman"/>
          <w:sz w:val="32"/>
          <w:szCs w:val="32"/>
        </w:rPr>
        <w:t>的国有土地及其地上建筑物(含构筑物)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可由其办理出租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出借手续。</w:t>
      </w:r>
    </w:p>
    <w:p w14:paraId="5C0ECDEA">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第十一条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行政事业单位将国有资产以委托或者承包给他人经营等方式获取收入的，视同出租行为，应当按照本办法规定执行。产权在行政单位、由事业单位管理的国有资产出租、出借事项，按照行政单位国有资产出租、出借规定执行。</w:t>
      </w:r>
    </w:p>
    <w:p w14:paraId="7AA5C758">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行政事业单位科研基础设施和科研仪器设备向社会开放共享不属于本办法规定的对外出租、出借情形。</w:t>
      </w:r>
    </w:p>
    <w:p w14:paraId="147B8EDB">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行政事业单位办理国有资产出租、出借事项报批手续时，应当提供以下资料：</w:t>
      </w:r>
    </w:p>
    <w:p w14:paraId="0C2B4318">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(一)国有资产出租、出借申请文件以及《</w:t>
      </w:r>
      <w:r>
        <w:rPr>
          <w:rFonts w:hint="default" w:ascii="Times New Roman" w:hAnsi="Times New Roman" w:eastAsia="仿宋_GB2312" w:cs="Times New Roman"/>
          <w:sz w:val="32"/>
          <w:szCs w:val="32"/>
          <w:lang w:val="en-US" w:eastAsia="zh-CN"/>
        </w:rPr>
        <w:t>宜阳县</w:t>
      </w:r>
      <w:r>
        <w:rPr>
          <w:rFonts w:hint="default" w:ascii="Times New Roman" w:hAnsi="Times New Roman" w:eastAsia="仿宋_GB2312" w:cs="Times New Roman"/>
          <w:sz w:val="32"/>
          <w:szCs w:val="32"/>
        </w:rPr>
        <w:t>行政事业单位国有资产出租、出借申请表》;</w:t>
      </w:r>
    </w:p>
    <w:p w14:paraId="25763338">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(二)单位同意国有资产出租、出借的集体决议或会议纪要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并对是否租用、借用同类资产情况作出说明；</w:t>
      </w:r>
    </w:p>
    <w:p w14:paraId="6952755D">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(三)拟出租、出借国有资产的权属证明；不能提供权属证明，可由单位提供无权属纠纷的证明或其他能够证明其权属的资料；</w:t>
      </w:r>
    </w:p>
    <w:p w14:paraId="0EFAFEA0">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(四)能够证明出租、出借国有资产价值的有效凭证，如发票、记账凭证等；</w:t>
      </w:r>
    </w:p>
    <w:p w14:paraId="460BE7B6">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(五)出租、出借建筑物的，需提供土地来源证明或者国有土地使用权证、房屋所有权证、建设用地规划许可证等，以及拟出租、出借建筑物的坐落地点、面积、规划用途等资料；</w:t>
      </w:r>
    </w:p>
    <w:p w14:paraId="21F0830F">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(六)其他需提供的文件、证件和材料。</w:t>
      </w:r>
    </w:p>
    <w:p w14:paraId="6601981B">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第十三条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行政事业单位国有资产出租事项经批准后，应当对相关国有资产出租价格进行评估。</w:t>
      </w:r>
    </w:p>
    <w:p w14:paraId="6496C171">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资产评估应当依法委托具有相应资质的评估机构进行，评估结果报</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财政局备案后，作为确定租金价格的参考依据。在出租过程中，当租金价格低于评估价格90%时，应当暂停出租行为，经</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财政局同意后方可继续进行。</w:t>
      </w:r>
    </w:p>
    <w:p w14:paraId="7190B671">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第十四条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sz w:val="32"/>
          <w:szCs w:val="32"/>
        </w:rPr>
        <w:t>行政事业单位应当通过</w:t>
      </w:r>
      <w:r>
        <w:rPr>
          <w:rFonts w:hint="eastAsia" w:ascii="Times New Roman" w:hAnsi="Times New Roman" w:eastAsia="仿宋_GB2312" w:cs="Times New Roman"/>
          <w:sz w:val="32"/>
          <w:szCs w:val="32"/>
          <w:lang w:val="en-US" w:eastAsia="zh-CN"/>
        </w:rPr>
        <w:t>融媒体</w:t>
      </w:r>
      <w:r>
        <w:rPr>
          <w:rFonts w:hint="default" w:ascii="Times New Roman" w:hAnsi="Times New Roman" w:eastAsia="仿宋_GB2312" w:cs="Times New Roman"/>
          <w:sz w:val="32"/>
          <w:szCs w:val="32"/>
        </w:rPr>
        <w:t>、门户网站或者其他新闻媒介等发布出租公告广泛征集承租方，公告内容应当包括出租国有资产的基本情况、出租期限、租金底价、竞价方式等信息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公告时间不得少于7个工作日。</w:t>
      </w:r>
    </w:p>
    <w:p w14:paraId="78C81B05">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第十五条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行政事业单位应当按照公开、公平、公正的原则出租国有资产，通过公共资源交易平台或者其他具有资质的产权交易机构以市场竞价方式(含拍卖、网络竞价以及其他竞价方式)进行公开出租。出租国有资产的行政事业单位不得对承租方设置有明确指向性或违反公平竞争原则的资格条件。具体招租事项按照交易机构资产出租进场交易相关规定办理。</w:t>
      </w:r>
    </w:p>
    <w:p w14:paraId="3F778B47">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如有特殊情况，经</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财政局批准后，可以采取非公开方式出租国有资产，以非公开方式出租国有资产的出租价格原则上不得低于评估价格。</w:t>
      </w:r>
    </w:p>
    <w:p w14:paraId="66E89853">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val="en-US" w:eastAsia="zh-CN"/>
        </w:rPr>
        <w:t>六</w:t>
      </w:r>
      <w:r>
        <w:rPr>
          <w:rFonts w:hint="default" w:ascii="Times New Roman" w:hAnsi="Times New Roman" w:eastAsia="仿宋_GB2312" w:cs="Times New Roman"/>
          <w:b w:val="0"/>
          <w:bCs w:val="0"/>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行政事业单位应当按照法律、法规有关规定与承租人签订租赁合同。合同签订主体与产权主体、收入上缴主体原则上应当保持一致。国有资产对外出租原则上应当采取先收取租金后交付使用的方式。</w:t>
      </w:r>
    </w:p>
    <w:p w14:paraId="3AD59E1C">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承租人需要对承租房产进行装修、改造的，应事先与出租单位协商，并在合同中明确约定合同终止时的处置方式。</w:t>
      </w:r>
    </w:p>
    <w:p w14:paraId="5C54C2BD">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第十七条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行政事业单位国有资产出租合同签订完成后，应当在30个工作日内经主管部门审核后报</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财政局备案，备案时应当提供以下资料：</w:t>
      </w:r>
    </w:p>
    <w:p w14:paraId="0631E31E">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(一)采取市场公开竞价方式选取承租方的有关证明材料(含出租公告、竞价记录等)</w:t>
      </w:r>
      <w:r>
        <w:rPr>
          <w:rFonts w:hint="eastAsia" w:ascii="Times New Roman" w:hAnsi="Times New Roman" w:eastAsia="仿宋_GB2312" w:cs="Times New Roman"/>
          <w:sz w:val="32"/>
          <w:szCs w:val="32"/>
          <w:lang w:val="en-US" w:eastAsia="zh-CN"/>
        </w:rPr>
        <w:t>；</w:t>
      </w:r>
    </w:p>
    <w:p w14:paraId="147E6257">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(二)与承租方签订的有偿使用合同；</w:t>
      </w:r>
    </w:p>
    <w:p w14:paraId="70FBB5C3">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(三)承租方的营业执照或者个人身份证复印件。</w:t>
      </w:r>
    </w:p>
    <w:p w14:paraId="6FF4C1F2">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行政事业单位国有资产出借协议签订完成后，应当在30个工作日内经主管部门审核后报</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财政局备案，备案时应当提供与承借方签订的出借协议。</w:t>
      </w:r>
    </w:p>
    <w:p w14:paraId="2CCA84A4">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val="en-US" w:eastAsia="zh-CN"/>
        </w:rPr>
        <w:t>八</w:t>
      </w:r>
      <w:r>
        <w:rPr>
          <w:rFonts w:hint="default" w:ascii="Times New Roman" w:hAnsi="Times New Roman" w:eastAsia="仿宋_GB2312" w:cs="Times New Roman"/>
          <w:b w:val="0"/>
          <w:bCs w:val="0"/>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行政事业单位出租、出借国有资产一般不超过3年。因情况特殊确需超过规定年限的，经</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政府批准可适当延长租期，但不得违反《中华人民共和国民法典》的规定。租期超过3年的，行政事业单位应在租赁合同中约定每年根据市场行情按一定比例调整租金。</w:t>
      </w:r>
    </w:p>
    <w:p w14:paraId="03521F76">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租、出借期间若需变更国有资产出租合同或者出借协议的，应当重新办理报批手续；若需提前终止国有资产出租合同或者出借协议的，应当办理备案手续；合同或者协议期满后继续出租、出借的，应当重新办理报批手续。</w:t>
      </w:r>
    </w:p>
    <w:p w14:paraId="2C3D2EB0">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黑体" w:cs="Times New Roman"/>
          <w:snapToGrid w:val="0"/>
          <w:color w:val="000000"/>
          <w:kern w:val="0"/>
          <w:sz w:val="32"/>
          <w:szCs w:val="32"/>
          <w:lang w:val="en-US" w:eastAsia="en-US" w:bidi="ar-SA"/>
        </w:rPr>
      </w:pPr>
      <w:r>
        <w:rPr>
          <w:rFonts w:hint="default" w:ascii="Times New Roman" w:hAnsi="Times New Roman" w:eastAsia="仿宋_GB2312" w:cs="Times New Roman"/>
          <w:b w:val="0"/>
          <w:bCs w:val="0"/>
          <w:sz w:val="32"/>
          <w:szCs w:val="32"/>
        </w:rPr>
        <w:t>第十九条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行政事业单位应当加强对出租、出借国有资产的监督管理和跟踪管理，原则上不得在资产闲置情况下租用借用购置同类资产，不得在对外出租出借的情况下租用借用购置同类资产，对违反政策规定和合同或协议约定的行为，应当及时采取有效应对措施，确保国有资产权益不受侵害。</w:t>
      </w:r>
    </w:p>
    <w:p w14:paraId="618A02D7">
      <w:pPr>
        <w:keepNext w:val="0"/>
        <w:keepLines w:val="0"/>
        <w:pageBreakBefore w:val="0"/>
        <w:widowControl w:val="0"/>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黑体" w:cs="Times New Roman"/>
          <w:snapToGrid w:val="0"/>
          <w:color w:val="000000"/>
          <w:kern w:val="0"/>
          <w:sz w:val="32"/>
          <w:szCs w:val="32"/>
          <w:lang w:val="en-US" w:eastAsia="en-US" w:bidi="ar-SA"/>
        </w:rPr>
      </w:pPr>
    </w:p>
    <w:p w14:paraId="2E0AB0AB">
      <w:pPr>
        <w:keepNext w:val="0"/>
        <w:keepLines w:val="0"/>
        <w:pageBreakBefore w:val="0"/>
        <w:widowControl w:val="0"/>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仿宋_GB2312" w:cs="Times New Roman"/>
          <w:sz w:val="32"/>
          <w:szCs w:val="32"/>
        </w:rPr>
      </w:pPr>
      <w:r>
        <w:rPr>
          <w:rFonts w:hint="default" w:ascii="Times New Roman" w:hAnsi="Times New Roman" w:eastAsia="黑体" w:cs="Times New Roman"/>
          <w:snapToGrid w:val="0"/>
          <w:color w:val="000000"/>
          <w:kern w:val="0"/>
          <w:sz w:val="32"/>
          <w:szCs w:val="32"/>
          <w:lang w:val="en-US" w:eastAsia="en-US" w:bidi="ar-SA"/>
        </w:rPr>
        <w:t>第三章</w:t>
      </w:r>
      <w:r>
        <w:rPr>
          <w:rFonts w:hint="default" w:ascii="Times New Roman" w:hAnsi="Times New Roman" w:eastAsia="黑体" w:cs="Times New Roman"/>
          <w:snapToGrid w:val="0"/>
          <w:color w:val="000000"/>
          <w:kern w:val="0"/>
          <w:sz w:val="32"/>
          <w:szCs w:val="32"/>
          <w:lang w:val="en-US" w:eastAsia="zh-CN" w:bidi="ar-SA"/>
        </w:rPr>
        <w:t xml:space="preserve"> </w:t>
      </w:r>
      <w:r>
        <w:rPr>
          <w:rFonts w:hint="default" w:ascii="Times New Roman" w:hAnsi="Times New Roman" w:eastAsia="黑体" w:cs="Times New Roman"/>
          <w:snapToGrid w:val="0"/>
          <w:color w:val="000000"/>
          <w:kern w:val="0"/>
          <w:sz w:val="32"/>
          <w:szCs w:val="32"/>
          <w:lang w:val="en-US" w:eastAsia="en-US" w:bidi="ar-SA"/>
        </w:rPr>
        <w:t>对外投资、担保</w:t>
      </w:r>
    </w:p>
    <w:p w14:paraId="5DB3FEB2">
      <w:pPr>
        <w:keepNext w:val="0"/>
        <w:keepLines w:val="0"/>
        <w:pageBreakBefore w:val="0"/>
        <w:widowControl w:val="0"/>
        <w:kinsoku/>
        <w:wordWrap/>
        <w:overflowPunct w:val="0"/>
        <w:topLinePunct w:val="0"/>
        <w:autoSpaceDE w:val="0"/>
        <w:autoSpaceDN w:val="0"/>
        <w:bidi w:val="0"/>
        <w:adjustRightInd w:val="0"/>
        <w:snapToGrid w:val="0"/>
        <w:spacing w:line="600" w:lineRule="exact"/>
        <w:ind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第二十条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除法律另有规定外，行政单位不得以任何形式使用其依法直接支配的国有资产对外投资或者设立营利性组织。</w:t>
      </w:r>
    </w:p>
    <w:p w14:paraId="3E808BEE">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第二十一条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严格控制事业单位非主业投资。事业单位未经批准不得使用财政拨款及其结余、上级补助收入等对外投资；不得将保障事业正常发展的国有资产对外有偿使用。除国家另有规定外，事业单位不得有下列投资行为：</w:t>
      </w:r>
    </w:p>
    <w:p w14:paraId="5FEEB363">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(一)买卖期货、股票；</w:t>
      </w:r>
    </w:p>
    <w:p w14:paraId="3D28921D">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(二)购买各种企业债券、投资基金和其他任何形式的金融衍生产品或者进行任何形式的金融风险投资；</w:t>
      </w:r>
    </w:p>
    <w:p w14:paraId="2876EBC7">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(三)利用国外贷款的事业单位在贷款清偿完毕前利用该贷款形成的资产对外投资；</w:t>
      </w:r>
    </w:p>
    <w:p w14:paraId="0B86B57C">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(四)违反法律、行政法规的其他投资行为。</w:t>
      </w:r>
    </w:p>
    <w:p w14:paraId="49845FE8">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第二十二条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事业单位利用国有资产对外投资，应当经主管部门审核同意后报</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财政局审批(一级预算单位直接报</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财政局审批)。</w:t>
      </w:r>
    </w:p>
    <w:p w14:paraId="025F5DF5">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第二十三条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事业单位办理国有资产对外投资报批手续时，应当提供以下资料：</w:t>
      </w:r>
    </w:p>
    <w:p w14:paraId="09D416E5">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(一)国有资产对外投资申请文件以及《</w:t>
      </w:r>
      <w:r>
        <w:rPr>
          <w:rFonts w:hint="default" w:ascii="Times New Roman" w:hAnsi="Times New Roman" w:eastAsia="仿宋_GB2312" w:cs="Times New Roman"/>
          <w:sz w:val="32"/>
          <w:szCs w:val="32"/>
          <w:lang w:val="en-US" w:eastAsia="zh-CN"/>
        </w:rPr>
        <w:t>宜阳县</w:t>
      </w:r>
      <w:r>
        <w:rPr>
          <w:rFonts w:hint="default" w:ascii="Times New Roman" w:hAnsi="Times New Roman" w:eastAsia="仿宋_GB2312" w:cs="Times New Roman"/>
          <w:sz w:val="32"/>
          <w:szCs w:val="32"/>
        </w:rPr>
        <w:t>行政事业单位国有资产对外投资申请表》;</w:t>
      </w:r>
    </w:p>
    <w:p w14:paraId="55B4F699">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(二)单位同意国有资产对外投资的集体决策文件和会议纪要等；</w:t>
      </w:r>
    </w:p>
    <w:p w14:paraId="2574E40E">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(三)事业单位法人证书；</w:t>
      </w:r>
    </w:p>
    <w:p w14:paraId="6FA3612A">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(四)拟投资国有资产的权属证明；</w:t>
      </w:r>
    </w:p>
    <w:p w14:paraId="65F06369">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(五)拟投资国有资产来源及其价值的有效凭证，如发票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记账凭证等；</w:t>
      </w:r>
    </w:p>
    <w:p w14:paraId="4FEC4FF2">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)进行对外投资的可行性分析报告；</w:t>
      </w:r>
    </w:p>
    <w:p w14:paraId="63A0959B">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)投资、入股、合资、合作意向书，草签的合同或协议；</w:t>
      </w:r>
    </w:p>
    <w:p w14:paraId="05C90EE9">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(八)被投资方的营业执照；</w:t>
      </w:r>
    </w:p>
    <w:p w14:paraId="719DFBD5">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(九)被投资方近</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年的年度审计报告；</w:t>
      </w:r>
    </w:p>
    <w:p w14:paraId="125A67B6">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(十)拟投资国有资产的评估报告；</w:t>
      </w:r>
    </w:p>
    <w:p w14:paraId="2525CB6E">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(十一)其他需提供的文件、证明和材料。</w:t>
      </w:r>
    </w:p>
    <w:p w14:paraId="0D0221E7">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第二十四条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事业单位国有资产对外投资事项经批准后，应当尽快组织实施，并在合同或者协议签订完成后30个工作日内将实施情况和结果报</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财政局备案，备案时应当提供以下资料：</w:t>
      </w:r>
    </w:p>
    <w:p w14:paraId="532AC4FF">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(一)正式投资合同或者协议；</w:t>
      </w:r>
    </w:p>
    <w:p w14:paraId="1EB32487">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(二)投资入股公司章程。</w:t>
      </w:r>
    </w:p>
    <w:p w14:paraId="104B91FF">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rPr>
        <w:t>第二十五条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事业单位应当加强对外投资形成股权的管理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依法履行股东(投资人)职责。</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财政局、事业单位主管部门应当加强对事业单位国有资产对外投资的风险控制和考核</w:t>
      </w:r>
      <w:r>
        <w:rPr>
          <w:rFonts w:hint="default" w:ascii="Times New Roman" w:hAnsi="Times New Roman" w:eastAsia="仿宋_GB2312" w:cs="Times New Roman"/>
          <w:sz w:val="32"/>
          <w:szCs w:val="32"/>
          <w:lang w:eastAsia="zh-CN"/>
        </w:rPr>
        <w:t>。</w:t>
      </w:r>
    </w:p>
    <w:p w14:paraId="5C3682BE">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第二十六条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事业单位转让或者减持对外投资形成的股权的，应当按照国有资产处置管理有关规定办理。</w:t>
      </w:r>
    </w:p>
    <w:p w14:paraId="1050AA34">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第二十七条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除法律、行政法规另有规定外，行政事业单位不得以任何方式对外提供担保。</w:t>
      </w:r>
    </w:p>
    <w:p w14:paraId="01FDF4C2">
      <w:pPr>
        <w:keepNext w:val="0"/>
        <w:keepLines w:val="0"/>
        <w:pageBreakBefore w:val="0"/>
        <w:widowControl w:val="0"/>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黑体" w:cs="Times New Roman"/>
          <w:sz w:val="32"/>
          <w:szCs w:val="32"/>
        </w:rPr>
      </w:pPr>
    </w:p>
    <w:p w14:paraId="3658E057">
      <w:pPr>
        <w:keepNext w:val="0"/>
        <w:keepLines w:val="0"/>
        <w:pageBreakBefore w:val="0"/>
        <w:widowControl w:val="0"/>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收入收缴及使用</w:t>
      </w:r>
    </w:p>
    <w:p w14:paraId="4726F867">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第二十八条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财政局、主管部门对行政事业单位国有资产对外有偿使用的批复文件和经</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财政局备案后的对外有偿使用合同或者协议是各单位进行账务处理和缴纳收入的依据。</w:t>
      </w:r>
    </w:p>
    <w:p w14:paraId="5558E643">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第二十九条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行政单位、参照公务员法管理的事业单位、公益一类事业单位国有资产对外有偿使用形成的收入，应当在扣除应缴税款和发生的必要费用(资产评估费、交易手续费)后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按照政府非税收入和国库集中收缴制度的有关规定，及时足额缴入</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级国库，纳入</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财政预算统筹管理。</w:t>
      </w:r>
    </w:p>
    <w:p w14:paraId="5DBF1968">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其他事业单位国有资产对外有偿使用形成的收入纳入单位预算，统一核算、统一管理。国家另有规定的除外。</w:t>
      </w:r>
    </w:p>
    <w:p w14:paraId="30637724">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国有资产对外有偿使用中收取的违约金按照对外有偿使用收入管理。</w:t>
      </w:r>
    </w:p>
    <w:p w14:paraId="79524430">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第三十条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行政事业单位应当按照《行政事业性国有资产管理条例》等有关规定，在决算中如实反映国有资产对外有偿使用收入情况。</w:t>
      </w:r>
    </w:p>
    <w:p w14:paraId="37CF5E25">
      <w:pPr>
        <w:keepNext w:val="0"/>
        <w:keepLines w:val="0"/>
        <w:pageBreakBefore w:val="0"/>
        <w:widowControl w:val="0"/>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黑体" w:cs="Times New Roman"/>
          <w:sz w:val="32"/>
          <w:szCs w:val="32"/>
        </w:rPr>
      </w:pPr>
    </w:p>
    <w:p w14:paraId="778F5056">
      <w:pPr>
        <w:keepNext w:val="0"/>
        <w:keepLines w:val="0"/>
        <w:pageBreakBefore w:val="0"/>
        <w:widowControl w:val="0"/>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监督检查</w:t>
      </w:r>
    </w:p>
    <w:p w14:paraId="40780355">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rPr>
        <w:t>第三十一条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行政事业单位应当承担本单位国有资产对外有偿使用管理的主体责任，建立和完善内部控制制度，对本单位对外有偿使用的国有资产实行专项管理，确保国有资产保值增值，并按照规定及时、足额缴纳国有资产对外有偿使用收入</w:t>
      </w:r>
      <w:r>
        <w:rPr>
          <w:rFonts w:hint="default" w:ascii="Times New Roman" w:hAnsi="Times New Roman" w:eastAsia="仿宋_GB2312" w:cs="Times New Roman"/>
          <w:sz w:val="32"/>
          <w:szCs w:val="32"/>
          <w:lang w:eastAsia="zh-CN"/>
        </w:rPr>
        <w:t>。</w:t>
      </w:r>
    </w:p>
    <w:p w14:paraId="518E4DFD">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第三十二条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主管部门应当切实履行本部门国有资产使用的管理和具体监管职责，建立健全管理制度，按照规定权限审核或者审批本部门所属行政事业单位国有资产对外有偿使用事项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加强对所属行政事业单位国有资产对外有偿使用的监督检查和绩效考核，督促其按照规定缴纳国有资产对外有偿使用收</w:t>
      </w:r>
      <w:r>
        <w:rPr>
          <w:rFonts w:hint="default" w:ascii="Times New Roman" w:hAnsi="Times New Roman" w:eastAsia="仿宋_GB2312" w:cs="Times New Roman"/>
          <w:sz w:val="32"/>
          <w:szCs w:val="32"/>
          <w:lang w:val="en-US" w:eastAsia="zh-CN"/>
        </w:rPr>
        <w:t>入</w:t>
      </w:r>
      <w:r>
        <w:rPr>
          <w:rFonts w:hint="default" w:ascii="Times New Roman" w:hAnsi="Times New Roman" w:eastAsia="仿宋_GB2312" w:cs="Times New Roman"/>
          <w:sz w:val="32"/>
          <w:szCs w:val="32"/>
        </w:rPr>
        <w:t>；发现违规问题时应当及时纠正，并依据</w:t>
      </w:r>
      <w:r>
        <w:rPr>
          <w:rFonts w:hint="default"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rPr>
        <w:t>关规定追究相关单位和责任人的责任。</w:t>
      </w:r>
    </w:p>
    <w:p w14:paraId="0BBFECA4">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第三十三条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财政局应当切实履行行政事业单位国有资产对外有偿使用的综合管理职责，完善国有资产对外有偿使用管理制度、规则、流程等，对行政事业单位国有资产对外有偿使用及收入收缴情况进行监督检查。</w:t>
      </w:r>
    </w:p>
    <w:p w14:paraId="471A370F">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第三十四条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行政事业单位有下列行为之一的，按照《行政事业性国有资产管理条例》和《财政违法行为处罚处分条例》等有关规定进行处理：</w:t>
      </w:r>
    </w:p>
    <w:p w14:paraId="769A6405">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(一)国有资产对外有偿使用未按照规定进行集体决策或者履行审批程序；</w:t>
      </w:r>
    </w:p>
    <w:p w14:paraId="1C420078">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(二)违反规定将国有资产用于对外投资或者设立营利性组织；</w:t>
      </w:r>
    </w:p>
    <w:p w14:paraId="424A0FBF">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(三)违反规定擅自提供担保；</w:t>
      </w:r>
    </w:p>
    <w:p w14:paraId="150FA942">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(四)未按照规定评估国有资产导致国家利益损失；</w:t>
      </w:r>
    </w:p>
    <w:p w14:paraId="1EE63E81">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(五)违反国家规定缓收、少收、不收、隐瞒、滞留、截留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挪用、坐支国有资产对外有偿使用收入；</w:t>
      </w:r>
    </w:p>
    <w:p w14:paraId="5FBEC971">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(六)其他违反规定造成国有资产损失的行为。</w:t>
      </w:r>
    </w:p>
    <w:p w14:paraId="505EF4B9">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第三十五条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行政事业单位及其工作人员在国有资产对外有偿使用管理工作中存在滥用职权、玩忽职守、徇私舞弊等违法违规行为的，由相关部门依法依规予以处理；构成犯罪的，依法</w:t>
      </w:r>
      <w:r>
        <w:rPr>
          <w:rFonts w:hint="default" w:ascii="Times New Roman" w:hAnsi="Times New Roman" w:eastAsia="仿宋_GB2312" w:cs="Times New Roman"/>
          <w:sz w:val="32"/>
          <w:szCs w:val="32"/>
          <w:lang w:val="en-US" w:eastAsia="zh-CN"/>
        </w:rPr>
        <w:t>追究</w:t>
      </w:r>
      <w:r>
        <w:rPr>
          <w:rFonts w:hint="default" w:ascii="Times New Roman" w:hAnsi="Times New Roman" w:eastAsia="仿宋_GB2312" w:cs="Times New Roman"/>
          <w:sz w:val="32"/>
          <w:szCs w:val="32"/>
        </w:rPr>
        <w:t>刑事责任。</w:t>
      </w:r>
    </w:p>
    <w:p w14:paraId="4CC06DD9">
      <w:pPr>
        <w:keepNext w:val="0"/>
        <w:keepLines w:val="0"/>
        <w:pageBreakBefore w:val="0"/>
        <w:widowControl w:val="0"/>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cs="Times New Roman"/>
        </w:rPr>
      </w:pPr>
      <w:r>
        <w:rPr>
          <w:rFonts w:hint="default" w:ascii="Times New Roman" w:hAnsi="Times New Roman" w:eastAsia="黑体" w:cs="Times New Roman"/>
          <w:sz w:val="32"/>
          <w:szCs w:val="32"/>
        </w:rPr>
        <w:t>第六章 附 则</w:t>
      </w:r>
    </w:p>
    <w:p w14:paraId="0CB7F947">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第三十六条</w:t>
      </w:r>
      <w:r>
        <w:rPr>
          <w:rFonts w:hint="default" w:ascii="Times New Roman" w:hAnsi="Times New Roman" w:eastAsia="黑体" w:cs="Times New Roman"/>
          <w:spacing w:val="24"/>
          <w:sz w:val="29"/>
          <w:szCs w:val="29"/>
        </w:rPr>
        <w:t xml:space="preserve"> </w:t>
      </w:r>
      <w:r>
        <w:rPr>
          <w:rFonts w:hint="default" w:ascii="Times New Roman" w:hAnsi="Times New Roman" w:eastAsia="仿宋_GB2312" w:cs="Times New Roman"/>
          <w:sz w:val="32"/>
          <w:szCs w:val="32"/>
        </w:rPr>
        <w:t>实行企业化管理并执行企业财务会计制度的事业单位以及事业单位创办的具有法人资格的企业，按照企业国有资产管理的有关规定实施监督管理。</w:t>
      </w:r>
    </w:p>
    <w:p w14:paraId="69D988D2">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参照公务员法管理的事业单位国有资产对外有偿使用按照行政单位有关规定执行。</w:t>
      </w:r>
    </w:p>
    <w:p w14:paraId="0701A1D6">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除国家另有规定外，社会组织直接支配的国有资产对外有偿使用，按照本办法执行。</w:t>
      </w:r>
    </w:p>
    <w:p w14:paraId="0ADFA301">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第三十七条</w:t>
      </w:r>
      <w:r>
        <w:rPr>
          <w:rFonts w:hint="default" w:ascii="Times New Roman" w:hAnsi="Times New Roman" w:eastAsia="黑体" w:cs="Times New Roman"/>
          <w:b w:val="0"/>
          <w:bCs w:val="0"/>
          <w:spacing w:val="24"/>
          <w:sz w:val="29"/>
          <w:szCs w:val="29"/>
        </w:rPr>
        <w:t xml:space="preserve"> </w:t>
      </w:r>
      <w:r>
        <w:rPr>
          <w:rFonts w:hint="default" w:ascii="Times New Roman" w:hAnsi="Times New Roman" w:eastAsia="仿宋_GB2312" w:cs="Times New Roman"/>
          <w:sz w:val="32"/>
          <w:szCs w:val="32"/>
        </w:rPr>
        <w:t>科学事业单位和</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直</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后勤保障单位国有资产对外有偿使用的收入管理，由</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财政局另行规定。</w:t>
      </w:r>
    </w:p>
    <w:p w14:paraId="06D2B058">
      <w:pPr>
        <w:keepNext w:val="0"/>
        <w:keepLines w:val="0"/>
        <w:pageBreakBefore w:val="0"/>
        <w:widowControl w:val="0"/>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第三十八条</w:t>
      </w:r>
      <w:r>
        <w:rPr>
          <w:rFonts w:hint="default" w:ascii="Times New Roman" w:hAnsi="Times New Roman" w:eastAsia="黑体" w:cs="Times New Roman"/>
          <w:b w:val="0"/>
          <w:bCs w:val="0"/>
          <w:spacing w:val="12"/>
          <w:sz w:val="29"/>
          <w:szCs w:val="29"/>
        </w:rPr>
        <w:t xml:space="preserve"> </w:t>
      </w:r>
      <w:r>
        <w:rPr>
          <w:rFonts w:hint="default" w:ascii="Times New Roman" w:hAnsi="Times New Roman" w:eastAsia="仿宋_GB2312" w:cs="Times New Roman"/>
          <w:sz w:val="32"/>
          <w:szCs w:val="32"/>
        </w:rPr>
        <w:t>本办法自印发之日起施行，有效期</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年。此前有关</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级行政事业单位国有资产对外有偿使用管理的规定与本办法不一致的，按照本办法执行。</w:t>
      </w:r>
    </w:p>
    <w:p w14:paraId="734FC443">
      <w:pPr>
        <w:keepNext w:val="0"/>
        <w:keepLines w:val="0"/>
        <w:pageBreakBefore w:val="0"/>
        <w:widowControl w:val="0"/>
        <w:wordWrap/>
        <w:topLinePunct w:val="0"/>
        <w:autoSpaceDE w:val="0"/>
        <w:autoSpaceDN w:val="0"/>
        <w:bidi w:val="0"/>
        <w:adjustRightInd w:val="0"/>
        <w:snapToGrid w:val="0"/>
        <w:spacing w:line="600" w:lineRule="exact"/>
        <w:ind w:right="133" w:firstLine="604"/>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附件</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1</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宜阳县行政事业单位国有资产出租、出借申请表；</w:t>
      </w:r>
    </w:p>
    <w:p w14:paraId="189A0190">
      <w:pPr>
        <w:keepNext w:val="0"/>
        <w:keepLines w:val="0"/>
        <w:pageBreakBefore w:val="0"/>
        <w:widowControl w:val="0"/>
        <w:wordWrap/>
        <w:topLinePunct w:val="0"/>
        <w:autoSpaceDE w:val="0"/>
        <w:autoSpaceDN w:val="0"/>
        <w:bidi w:val="0"/>
        <w:adjustRightInd w:val="0"/>
        <w:snapToGrid w:val="0"/>
        <w:spacing w:line="600" w:lineRule="exact"/>
        <w:ind w:right="133" w:firstLine="1555" w:firstLineChars="486"/>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2</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宜阳县行政事业单位国有土地及地上建筑物；</w:t>
      </w:r>
    </w:p>
    <w:p w14:paraId="31524EEC">
      <w:pPr>
        <w:keepNext w:val="0"/>
        <w:keepLines w:val="0"/>
        <w:pageBreakBefore w:val="0"/>
        <w:widowControl w:val="0"/>
        <w:wordWrap/>
        <w:topLinePunct w:val="0"/>
        <w:autoSpaceDE w:val="0"/>
        <w:autoSpaceDN w:val="0"/>
        <w:bidi w:val="0"/>
        <w:adjustRightInd w:val="0"/>
        <w:snapToGrid w:val="0"/>
        <w:spacing w:line="600" w:lineRule="exact"/>
        <w:ind w:right="133" w:firstLine="1600" w:firstLineChars="500"/>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3</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宜阳县行政事业单位国有土地及地上建筑物。</w:t>
      </w:r>
    </w:p>
    <w:p w14:paraId="0A07E5AD">
      <w:pPr>
        <w:pStyle w:val="2"/>
        <w:keepNext w:val="0"/>
        <w:keepLines w:val="0"/>
        <w:pageBreakBefore w:val="0"/>
        <w:widowControl w:val="0"/>
        <w:wordWrap/>
        <w:topLinePunct w:val="0"/>
        <w:autoSpaceDE w:val="0"/>
        <w:autoSpaceDN w:val="0"/>
        <w:bidi w:val="0"/>
        <w:adjustRightInd w:val="0"/>
        <w:snapToGrid w:val="0"/>
        <w:spacing w:line="600" w:lineRule="exact"/>
        <w:ind w:left="13" w:firstLine="560" w:firstLineChars="200"/>
        <w:rPr>
          <w:rFonts w:hint="default" w:ascii="Times New Roman" w:hAnsi="Times New Roman" w:eastAsia="仿宋" w:cs="Times New Roman"/>
          <w:sz w:val="28"/>
          <w:szCs w:val="28"/>
          <w:lang w:val="en-US" w:eastAsia="zh-CN"/>
        </w:rPr>
      </w:pPr>
    </w:p>
    <w:p w14:paraId="5889C322">
      <w:pPr>
        <w:keepNext w:val="0"/>
        <w:keepLines w:val="0"/>
        <w:pageBreakBefore w:val="0"/>
        <w:widowControl w:val="0"/>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p>
    <w:p w14:paraId="73806161">
      <w:pPr>
        <w:keepNext w:val="0"/>
        <w:keepLines w:val="0"/>
        <w:pageBreakBefore w:val="0"/>
        <w:widowControl w:val="0"/>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p>
    <w:p w14:paraId="4D2658D5">
      <w:pPr>
        <w:keepNext w:val="0"/>
        <w:keepLines w:val="0"/>
        <w:pageBreakBefore w:val="0"/>
        <w:widowControl w:val="0"/>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p>
    <w:p w14:paraId="4E2E3E14">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br w:type="page"/>
      </w:r>
    </w:p>
    <w:p w14:paraId="0E2DD2FF">
      <w:pPr>
        <w:keepNext w:val="0"/>
        <w:keepLines w:val="0"/>
        <w:pageBreakBefore w:val="0"/>
        <w:widowControl w:val="0"/>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sectPr>
          <w:footerReference r:id="rId5" w:type="default"/>
          <w:pgSz w:w="11900" w:h="16830"/>
          <w:pgMar w:top="1701" w:right="1417" w:bottom="1814" w:left="1417" w:header="0" w:footer="1701" w:gutter="0"/>
          <w:pgNumType w:fmt="decimal"/>
          <w:cols w:space="0" w:num="1"/>
          <w:rtlGutter w:val="0"/>
          <w:docGrid w:linePitch="0" w:charSpace="0"/>
        </w:sectPr>
      </w:pPr>
    </w:p>
    <w:p w14:paraId="17FD2AFA">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firstLine="0" w:firstLineChars="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1FD57FA8">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jc w:val="center"/>
        <w:textAlignment w:val="baseline"/>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7"/>
          <w:sz w:val="44"/>
          <w:szCs w:val="44"/>
          <w:lang w:eastAsia="zh-CN"/>
        </w:rPr>
        <w:t>宜阳</w:t>
      </w:r>
      <w:r>
        <w:rPr>
          <w:rFonts w:hint="eastAsia" w:ascii="方正小标宋简体" w:hAnsi="方正小标宋简体" w:eastAsia="方正小标宋简体" w:cs="方正小标宋简体"/>
          <w:b w:val="0"/>
          <w:bCs w:val="0"/>
          <w:spacing w:val="7"/>
          <w:sz w:val="44"/>
          <w:szCs w:val="44"/>
        </w:rPr>
        <w:t>县行政事业单位国有资产出租、出借申请表</w:t>
      </w:r>
    </w:p>
    <w:p w14:paraId="6D62A5DC">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firstLine="0" w:firstLineChars="0"/>
        <w:jc w:val="both"/>
        <w:textAlignment w:val="baseline"/>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rPr>
        <w:t>填报单位：</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pacing w:val="-4"/>
          <w:sz w:val="28"/>
          <w:szCs w:val="28"/>
        </w:rPr>
        <w:t>申报日期：</w:t>
      </w:r>
      <w:r>
        <w:rPr>
          <w:rFonts w:hint="default" w:ascii="Times New Roman" w:hAnsi="Times New Roman" w:eastAsia="仿宋" w:cs="Times New Roman"/>
          <w:spacing w:val="9"/>
          <w:sz w:val="28"/>
          <w:szCs w:val="28"/>
        </w:rPr>
        <w:t xml:space="preserve">      </w:t>
      </w:r>
      <w:r>
        <w:rPr>
          <w:rFonts w:hint="default" w:ascii="Times New Roman" w:hAnsi="Times New Roman" w:eastAsia="仿宋" w:cs="Times New Roman"/>
          <w:spacing w:val="-4"/>
          <w:sz w:val="28"/>
          <w:szCs w:val="28"/>
        </w:rPr>
        <w:t xml:space="preserve">年 </w:t>
      </w:r>
      <w:r>
        <w:rPr>
          <w:rFonts w:hint="eastAsia" w:ascii="Times New Roman" w:hAnsi="Times New Roman" w:eastAsia="仿宋" w:cs="Times New Roman"/>
          <w:spacing w:val="-4"/>
          <w:sz w:val="28"/>
          <w:szCs w:val="28"/>
          <w:lang w:val="en-US" w:eastAsia="zh-CN"/>
        </w:rPr>
        <w:t xml:space="preserve"> </w:t>
      </w:r>
      <w:r>
        <w:rPr>
          <w:rFonts w:hint="default" w:ascii="Times New Roman" w:hAnsi="Times New Roman" w:eastAsia="仿宋" w:cs="Times New Roman"/>
          <w:spacing w:val="-4"/>
          <w:sz w:val="28"/>
          <w:szCs w:val="28"/>
        </w:rPr>
        <w:t xml:space="preserve">  月    </w:t>
      </w:r>
      <w:r>
        <w:rPr>
          <w:rFonts w:hint="default" w:ascii="Times New Roman" w:hAnsi="Times New Roman" w:eastAsia="仿宋" w:cs="Times New Roman"/>
          <w:spacing w:val="-4"/>
          <w:sz w:val="28"/>
          <w:szCs w:val="28"/>
          <w:lang w:val="en-US" w:eastAsia="zh-CN"/>
        </w:rPr>
        <w:t>日</w:t>
      </w:r>
      <w:r>
        <w:rPr>
          <w:rFonts w:hint="default" w:ascii="Times New Roman" w:hAnsi="Times New Roman" w:eastAsia="仿宋" w:cs="Times New Roman"/>
          <w:spacing w:val="1"/>
          <w:sz w:val="28"/>
          <w:szCs w:val="28"/>
        </w:rPr>
        <w:t xml:space="preserve">            </w:t>
      </w:r>
      <w:r>
        <w:rPr>
          <w:rFonts w:hint="eastAsia" w:ascii="Times New Roman" w:hAnsi="Times New Roman" w:eastAsia="仿宋" w:cs="Times New Roman"/>
          <w:spacing w:val="1"/>
          <w:sz w:val="28"/>
          <w:szCs w:val="28"/>
          <w:lang w:val="en-US" w:eastAsia="zh-CN"/>
        </w:rPr>
        <w:t xml:space="preserve">                        </w:t>
      </w:r>
      <w:r>
        <w:rPr>
          <w:rFonts w:hint="default" w:ascii="Times New Roman" w:hAnsi="Times New Roman" w:eastAsia="仿宋" w:cs="Times New Roman"/>
          <w:spacing w:val="1"/>
          <w:sz w:val="28"/>
          <w:szCs w:val="28"/>
        </w:rPr>
        <w:t xml:space="preserve">       </w:t>
      </w:r>
      <w:r>
        <w:rPr>
          <w:rFonts w:hint="eastAsia" w:ascii="Times New Roman" w:hAnsi="Times New Roman" w:eastAsia="仿宋" w:cs="Times New Roman"/>
          <w:spacing w:val="1"/>
          <w:sz w:val="28"/>
          <w:szCs w:val="28"/>
          <w:lang w:val="en-US" w:eastAsia="zh-CN"/>
        </w:rPr>
        <w:t xml:space="preserve">           </w:t>
      </w:r>
      <w:r>
        <w:rPr>
          <w:rFonts w:hint="default" w:ascii="Times New Roman" w:hAnsi="Times New Roman" w:eastAsia="仿宋" w:cs="Times New Roman"/>
          <w:spacing w:val="1"/>
          <w:sz w:val="28"/>
          <w:szCs w:val="28"/>
        </w:rPr>
        <w:t xml:space="preserve">   </w:t>
      </w:r>
      <w:r>
        <w:rPr>
          <w:rFonts w:hint="default" w:ascii="Times New Roman" w:hAnsi="Times New Roman" w:eastAsia="仿宋" w:cs="Times New Roman"/>
          <w:spacing w:val="-4"/>
          <w:sz w:val="28"/>
          <w:szCs w:val="28"/>
        </w:rPr>
        <w:t>金额单位</w:t>
      </w:r>
      <w:r>
        <w:rPr>
          <w:rFonts w:hint="default" w:ascii="Times New Roman" w:hAnsi="Times New Roman" w:eastAsia="仿宋" w:cs="Times New Roman"/>
          <w:spacing w:val="-5"/>
          <w:sz w:val="28"/>
          <w:szCs w:val="28"/>
        </w:rPr>
        <w:t>：元</w:t>
      </w:r>
    </w:p>
    <w:tbl>
      <w:tblPr>
        <w:tblStyle w:val="7"/>
        <w:tblW w:w="139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076"/>
        <w:gridCol w:w="1064"/>
        <w:gridCol w:w="896"/>
        <w:gridCol w:w="1040"/>
        <w:gridCol w:w="1026"/>
        <w:gridCol w:w="1067"/>
        <w:gridCol w:w="1693"/>
        <w:gridCol w:w="1991"/>
        <w:gridCol w:w="1415"/>
        <w:gridCol w:w="1925"/>
      </w:tblGrid>
      <w:tr w14:paraId="28982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jc w:val="center"/>
        </w:trPr>
        <w:tc>
          <w:tcPr>
            <w:tcW w:w="800" w:type="dxa"/>
            <w:vAlign w:val="center"/>
          </w:tcPr>
          <w:p w14:paraId="0125DCA6">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sz w:val="28"/>
                <w:szCs w:val="28"/>
              </w:rPr>
            </w:pPr>
            <w:r>
              <w:rPr>
                <w:rFonts w:hint="eastAsia" w:ascii="黑体" w:hAnsi="黑体" w:eastAsia="黑体" w:cs="黑体"/>
                <w:spacing w:val="-4"/>
                <w:sz w:val="28"/>
                <w:szCs w:val="28"/>
              </w:rPr>
              <w:t>序号</w:t>
            </w:r>
          </w:p>
        </w:tc>
        <w:tc>
          <w:tcPr>
            <w:tcW w:w="1076" w:type="dxa"/>
            <w:vAlign w:val="center"/>
          </w:tcPr>
          <w:p w14:paraId="590F8F9D">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spacing w:val="-5"/>
                <w:sz w:val="28"/>
                <w:szCs w:val="28"/>
                <w:lang w:val="en-US" w:eastAsia="zh-CN"/>
              </w:rPr>
            </w:pPr>
            <w:r>
              <w:rPr>
                <w:rFonts w:hint="eastAsia" w:ascii="黑体" w:hAnsi="黑体" w:eastAsia="黑体" w:cs="黑体"/>
                <w:spacing w:val="-5"/>
                <w:sz w:val="28"/>
                <w:szCs w:val="28"/>
                <w:lang w:val="en-US" w:eastAsia="zh-CN"/>
              </w:rPr>
              <w:t>资产</w:t>
            </w:r>
          </w:p>
          <w:p w14:paraId="09C04B58">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spacing w:val="-5"/>
                <w:sz w:val="28"/>
                <w:szCs w:val="28"/>
                <w:lang w:val="en-US" w:eastAsia="zh-CN"/>
              </w:rPr>
            </w:pPr>
            <w:r>
              <w:rPr>
                <w:rFonts w:hint="eastAsia" w:ascii="黑体" w:hAnsi="黑体" w:eastAsia="黑体" w:cs="黑体"/>
                <w:spacing w:val="-5"/>
                <w:sz w:val="28"/>
                <w:szCs w:val="28"/>
                <w:lang w:val="en-US" w:eastAsia="zh-CN"/>
              </w:rPr>
              <w:t>名称</w:t>
            </w:r>
          </w:p>
        </w:tc>
        <w:tc>
          <w:tcPr>
            <w:tcW w:w="1064" w:type="dxa"/>
            <w:vAlign w:val="center"/>
          </w:tcPr>
          <w:p w14:paraId="480B4ED7">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spacing w:val="-5"/>
                <w:sz w:val="28"/>
                <w:szCs w:val="28"/>
              </w:rPr>
            </w:pPr>
            <w:r>
              <w:rPr>
                <w:rFonts w:hint="eastAsia" w:ascii="黑体" w:hAnsi="黑体" w:eastAsia="黑体" w:cs="黑体"/>
                <w:spacing w:val="-5"/>
                <w:sz w:val="28"/>
                <w:szCs w:val="28"/>
              </w:rPr>
              <w:t>资产规格型号</w:t>
            </w:r>
          </w:p>
        </w:tc>
        <w:tc>
          <w:tcPr>
            <w:tcW w:w="896" w:type="dxa"/>
            <w:vAlign w:val="center"/>
          </w:tcPr>
          <w:p w14:paraId="56F064A1">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sz w:val="28"/>
                <w:szCs w:val="28"/>
              </w:rPr>
            </w:pPr>
            <w:r>
              <w:rPr>
                <w:rFonts w:hint="eastAsia" w:ascii="黑体" w:hAnsi="黑体" w:eastAsia="黑体" w:cs="黑体"/>
                <w:spacing w:val="-8"/>
                <w:sz w:val="28"/>
                <w:szCs w:val="28"/>
              </w:rPr>
              <w:t>资产</w:t>
            </w:r>
            <w:r>
              <w:rPr>
                <w:rFonts w:hint="eastAsia" w:ascii="黑体" w:hAnsi="黑体" w:eastAsia="黑体" w:cs="黑体"/>
                <w:sz w:val="28"/>
                <w:szCs w:val="28"/>
              </w:rPr>
              <w:t xml:space="preserve"> </w:t>
            </w:r>
            <w:r>
              <w:rPr>
                <w:rFonts w:hint="eastAsia" w:ascii="黑体" w:hAnsi="黑体" w:eastAsia="黑体" w:cs="黑体"/>
                <w:spacing w:val="-5"/>
                <w:sz w:val="28"/>
                <w:szCs w:val="28"/>
              </w:rPr>
              <w:t>编号</w:t>
            </w:r>
          </w:p>
        </w:tc>
        <w:tc>
          <w:tcPr>
            <w:tcW w:w="1040" w:type="dxa"/>
            <w:vAlign w:val="center"/>
          </w:tcPr>
          <w:p w14:paraId="2D934C71">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spacing w:val="-5"/>
                <w:sz w:val="28"/>
                <w:szCs w:val="28"/>
              </w:rPr>
            </w:pPr>
            <w:r>
              <w:rPr>
                <w:rFonts w:hint="eastAsia" w:ascii="黑体" w:hAnsi="黑体" w:eastAsia="黑体" w:cs="黑体"/>
                <w:spacing w:val="-5"/>
                <w:sz w:val="28"/>
                <w:szCs w:val="28"/>
              </w:rPr>
              <w:t>计量</w:t>
            </w:r>
          </w:p>
          <w:p w14:paraId="3A15894A">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sz w:val="28"/>
                <w:szCs w:val="28"/>
              </w:rPr>
            </w:pPr>
            <w:r>
              <w:rPr>
                <w:rFonts w:hint="eastAsia" w:ascii="黑体" w:hAnsi="黑体" w:eastAsia="黑体" w:cs="黑体"/>
                <w:spacing w:val="-5"/>
                <w:sz w:val="28"/>
                <w:szCs w:val="28"/>
              </w:rPr>
              <w:t>单位</w:t>
            </w:r>
          </w:p>
        </w:tc>
        <w:tc>
          <w:tcPr>
            <w:tcW w:w="1026" w:type="dxa"/>
            <w:vAlign w:val="center"/>
          </w:tcPr>
          <w:p w14:paraId="7BFD2872">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sz w:val="28"/>
                <w:szCs w:val="28"/>
              </w:rPr>
            </w:pPr>
            <w:r>
              <w:rPr>
                <w:rFonts w:hint="eastAsia" w:ascii="黑体" w:hAnsi="黑体" w:eastAsia="黑体" w:cs="黑体"/>
                <w:spacing w:val="-5"/>
                <w:sz w:val="28"/>
                <w:szCs w:val="28"/>
              </w:rPr>
              <w:t>数量</w:t>
            </w:r>
          </w:p>
        </w:tc>
        <w:tc>
          <w:tcPr>
            <w:tcW w:w="1067" w:type="dxa"/>
            <w:vAlign w:val="center"/>
          </w:tcPr>
          <w:p w14:paraId="29C3A437">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spacing w:val="-5"/>
                <w:sz w:val="28"/>
                <w:szCs w:val="28"/>
              </w:rPr>
            </w:pPr>
            <w:r>
              <w:rPr>
                <w:rFonts w:hint="eastAsia" w:ascii="黑体" w:hAnsi="黑体" w:eastAsia="黑体" w:cs="黑体"/>
                <w:spacing w:val="-5"/>
                <w:sz w:val="28"/>
                <w:szCs w:val="28"/>
              </w:rPr>
              <w:t>账面</w:t>
            </w:r>
          </w:p>
          <w:p w14:paraId="1A2E9CAA">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sz w:val="28"/>
                <w:szCs w:val="28"/>
              </w:rPr>
            </w:pPr>
            <w:r>
              <w:rPr>
                <w:rFonts w:hint="eastAsia" w:ascii="黑体" w:hAnsi="黑体" w:eastAsia="黑体" w:cs="黑体"/>
                <w:spacing w:val="-6"/>
                <w:sz w:val="28"/>
                <w:szCs w:val="28"/>
              </w:rPr>
              <w:t>原值</w:t>
            </w:r>
          </w:p>
        </w:tc>
        <w:tc>
          <w:tcPr>
            <w:tcW w:w="1693" w:type="dxa"/>
            <w:vAlign w:val="center"/>
          </w:tcPr>
          <w:p w14:paraId="5172C4AB">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sz w:val="28"/>
                <w:szCs w:val="28"/>
              </w:rPr>
            </w:pPr>
            <w:r>
              <w:rPr>
                <w:rFonts w:hint="eastAsia" w:ascii="黑体" w:hAnsi="黑体" w:eastAsia="黑体" w:cs="黑体"/>
                <w:spacing w:val="-4"/>
                <w:sz w:val="28"/>
                <w:szCs w:val="28"/>
              </w:rPr>
              <w:t>资产用途</w:t>
            </w:r>
          </w:p>
        </w:tc>
        <w:tc>
          <w:tcPr>
            <w:tcW w:w="1991" w:type="dxa"/>
            <w:vAlign w:val="center"/>
          </w:tcPr>
          <w:p w14:paraId="607EBF30">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sz w:val="28"/>
                <w:szCs w:val="28"/>
              </w:rPr>
            </w:pPr>
            <w:r>
              <w:rPr>
                <w:rFonts w:hint="eastAsia" w:ascii="黑体" w:hAnsi="黑体" w:eastAsia="黑体" w:cs="黑体"/>
                <w:spacing w:val="-2"/>
                <w:sz w:val="28"/>
                <w:szCs w:val="28"/>
              </w:rPr>
              <w:t>有偿使用方式</w:t>
            </w:r>
          </w:p>
        </w:tc>
        <w:tc>
          <w:tcPr>
            <w:tcW w:w="1415" w:type="dxa"/>
            <w:vAlign w:val="center"/>
          </w:tcPr>
          <w:p w14:paraId="43790E1F">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spacing w:val="-2"/>
                <w:sz w:val="28"/>
                <w:szCs w:val="28"/>
              </w:rPr>
            </w:pPr>
            <w:r>
              <w:rPr>
                <w:rFonts w:hint="eastAsia" w:ascii="黑体" w:hAnsi="黑体" w:eastAsia="黑体" w:cs="黑体"/>
                <w:spacing w:val="-2"/>
                <w:sz w:val="28"/>
                <w:szCs w:val="28"/>
              </w:rPr>
              <w:t>拟出租</w:t>
            </w:r>
          </w:p>
          <w:p w14:paraId="1FB497F8">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sz w:val="28"/>
                <w:szCs w:val="28"/>
              </w:rPr>
            </w:pPr>
            <w:r>
              <w:rPr>
                <w:rFonts w:hint="eastAsia" w:ascii="黑体" w:hAnsi="黑体" w:eastAsia="黑体" w:cs="黑体"/>
                <w:spacing w:val="-2"/>
                <w:sz w:val="28"/>
                <w:szCs w:val="28"/>
              </w:rPr>
              <w:t>出借</w:t>
            </w:r>
            <w:r>
              <w:rPr>
                <w:rFonts w:hint="eastAsia" w:ascii="黑体" w:hAnsi="黑体" w:eastAsia="黑体" w:cs="黑体"/>
                <w:spacing w:val="-5"/>
                <w:sz w:val="28"/>
                <w:szCs w:val="28"/>
              </w:rPr>
              <w:t>期限</w:t>
            </w:r>
          </w:p>
        </w:tc>
        <w:tc>
          <w:tcPr>
            <w:tcW w:w="1925" w:type="dxa"/>
            <w:vAlign w:val="center"/>
          </w:tcPr>
          <w:p w14:paraId="0FC5C488">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hint="eastAsia" w:ascii="黑体" w:hAnsi="黑体" w:eastAsia="黑体" w:cs="黑体"/>
                <w:sz w:val="28"/>
                <w:szCs w:val="28"/>
              </w:rPr>
            </w:pPr>
            <w:r>
              <w:rPr>
                <w:rFonts w:hint="eastAsia" w:ascii="黑体" w:hAnsi="黑体" w:eastAsia="黑体" w:cs="黑体"/>
                <w:spacing w:val="-5"/>
                <w:sz w:val="28"/>
                <w:szCs w:val="28"/>
              </w:rPr>
              <w:t>备注</w:t>
            </w:r>
          </w:p>
        </w:tc>
      </w:tr>
      <w:tr w14:paraId="256DB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800" w:type="dxa"/>
            <w:vAlign w:val="top"/>
          </w:tcPr>
          <w:p w14:paraId="15F80EBF">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1076" w:type="dxa"/>
            <w:vAlign w:val="top"/>
          </w:tcPr>
          <w:p w14:paraId="36ABAC1C">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1064" w:type="dxa"/>
            <w:vAlign w:val="top"/>
          </w:tcPr>
          <w:p w14:paraId="2F8698AE">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896" w:type="dxa"/>
            <w:vAlign w:val="top"/>
          </w:tcPr>
          <w:p w14:paraId="2A0A3BD3">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1040" w:type="dxa"/>
            <w:vAlign w:val="top"/>
          </w:tcPr>
          <w:p w14:paraId="5438860B">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1026" w:type="dxa"/>
            <w:vAlign w:val="top"/>
          </w:tcPr>
          <w:p w14:paraId="576CDCC2">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1067" w:type="dxa"/>
            <w:vAlign w:val="top"/>
          </w:tcPr>
          <w:p w14:paraId="0103B9FB">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1693" w:type="dxa"/>
            <w:vAlign w:val="top"/>
          </w:tcPr>
          <w:p w14:paraId="0F99E326">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1991" w:type="dxa"/>
            <w:vAlign w:val="top"/>
          </w:tcPr>
          <w:p w14:paraId="6DABEE43">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1415" w:type="dxa"/>
            <w:vAlign w:val="top"/>
          </w:tcPr>
          <w:p w14:paraId="056521D7">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1925" w:type="dxa"/>
            <w:vAlign w:val="top"/>
          </w:tcPr>
          <w:p w14:paraId="6A2348BD">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r>
      <w:tr w14:paraId="5FF6A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800" w:type="dxa"/>
            <w:vAlign w:val="top"/>
          </w:tcPr>
          <w:p w14:paraId="05D2304C">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1076" w:type="dxa"/>
            <w:vAlign w:val="top"/>
          </w:tcPr>
          <w:p w14:paraId="62ACD619">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1064" w:type="dxa"/>
            <w:vAlign w:val="top"/>
          </w:tcPr>
          <w:p w14:paraId="7245359D">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896" w:type="dxa"/>
            <w:vAlign w:val="top"/>
          </w:tcPr>
          <w:p w14:paraId="7C342FB7">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1040" w:type="dxa"/>
            <w:vAlign w:val="top"/>
          </w:tcPr>
          <w:p w14:paraId="693F5D99">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1026" w:type="dxa"/>
            <w:vAlign w:val="top"/>
          </w:tcPr>
          <w:p w14:paraId="51538395">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1067" w:type="dxa"/>
            <w:vAlign w:val="top"/>
          </w:tcPr>
          <w:p w14:paraId="2A74F62B">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1693" w:type="dxa"/>
            <w:vAlign w:val="top"/>
          </w:tcPr>
          <w:p w14:paraId="7E7C25DB">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1991" w:type="dxa"/>
            <w:vAlign w:val="top"/>
          </w:tcPr>
          <w:p w14:paraId="5ED2D50C">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1415" w:type="dxa"/>
            <w:vAlign w:val="top"/>
          </w:tcPr>
          <w:p w14:paraId="78702A2A">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c>
          <w:tcPr>
            <w:tcW w:w="1925" w:type="dxa"/>
            <w:vAlign w:val="top"/>
          </w:tcPr>
          <w:p w14:paraId="6AF7E5A4">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宋体" w:cs="Times New Roman"/>
                <w:sz w:val="24"/>
                <w:szCs w:val="24"/>
              </w:rPr>
            </w:pPr>
          </w:p>
        </w:tc>
      </w:tr>
      <w:tr w14:paraId="6D0BF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800" w:type="dxa"/>
            <w:vAlign w:val="top"/>
          </w:tcPr>
          <w:p w14:paraId="5A15FA4D">
            <w:pPr>
              <w:pStyle w:val="12"/>
              <w:keepNext w:val="0"/>
              <w:keepLines w:val="0"/>
              <w:pageBreakBefore w:val="0"/>
              <w:widowControl w:val="0"/>
              <w:wordWrap/>
              <w:topLinePunct w:val="0"/>
              <w:autoSpaceDE w:val="0"/>
              <w:autoSpaceDN w:val="0"/>
              <w:bidi w:val="0"/>
              <w:adjustRightInd w:val="0"/>
              <w:snapToGrid w:val="0"/>
              <w:spacing w:line="600" w:lineRule="exact"/>
              <w:ind w:left="133"/>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合</w:t>
            </w:r>
            <w:r>
              <w:rPr>
                <w:rFonts w:hint="default" w:ascii="Times New Roman" w:hAnsi="Times New Roman" w:eastAsia="仿宋" w:cs="Times New Roman"/>
                <w:sz w:val="28"/>
                <w:szCs w:val="28"/>
                <w:lang w:val="en-US" w:eastAsia="zh-CN"/>
              </w:rPr>
              <w:t>计</w:t>
            </w:r>
          </w:p>
        </w:tc>
        <w:tc>
          <w:tcPr>
            <w:tcW w:w="1076" w:type="dxa"/>
            <w:vAlign w:val="top"/>
          </w:tcPr>
          <w:p w14:paraId="4B5D1F1F">
            <w:pPr>
              <w:pStyle w:val="12"/>
              <w:keepNext w:val="0"/>
              <w:keepLines w:val="0"/>
              <w:pageBreakBefore w:val="0"/>
              <w:widowControl w:val="0"/>
              <w:wordWrap/>
              <w:topLinePunct w:val="0"/>
              <w:autoSpaceDE w:val="0"/>
              <w:autoSpaceDN w:val="0"/>
              <w:bidi w:val="0"/>
              <w:adjustRightInd w:val="0"/>
              <w:snapToGrid w:val="0"/>
              <w:spacing w:line="600" w:lineRule="exact"/>
              <w:ind w:left="209"/>
              <w:rPr>
                <w:rFonts w:hint="default" w:ascii="Times New Roman" w:hAnsi="Times New Roman" w:eastAsia="仿宋" w:cs="Times New Roman"/>
                <w:sz w:val="28"/>
                <w:szCs w:val="28"/>
              </w:rPr>
            </w:pPr>
          </w:p>
        </w:tc>
        <w:tc>
          <w:tcPr>
            <w:tcW w:w="1064" w:type="dxa"/>
            <w:vAlign w:val="top"/>
          </w:tcPr>
          <w:p w14:paraId="58437F64">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896" w:type="dxa"/>
            <w:vAlign w:val="top"/>
          </w:tcPr>
          <w:p w14:paraId="19D0BC0C">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040" w:type="dxa"/>
            <w:vAlign w:val="top"/>
          </w:tcPr>
          <w:p w14:paraId="24CFB877">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026" w:type="dxa"/>
            <w:vAlign w:val="top"/>
          </w:tcPr>
          <w:p w14:paraId="7554AE82">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067" w:type="dxa"/>
            <w:vAlign w:val="top"/>
          </w:tcPr>
          <w:p w14:paraId="3F9CD835">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693" w:type="dxa"/>
            <w:vAlign w:val="top"/>
          </w:tcPr>
          <w:p w14:paraId="656F5BA3">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991" w:type="dxa"/>
            <w:vAlign w:val="top"/>
          </w:tcPr>
          <w:p w14:paraId="4CA6708B">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415" w:type="dxa"/>
            <w:vAlign w:val="top"/>
          </w:tcPr>
          <w:p w14:paraId="5958E39A">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925" w:type="dxa"/>
            <w:vAlign w:val="top"/>
          </w:tcPr>
          <w:p w14:paraId="0A64CC62">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r>
      <w:tr w14:paraId="71E44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5" w:hRule="atLeast"/>
          <w:jc w:val="center"/>
        </w:trPr>
        <w:tc>
          <w:tcPr>
            <w:tcW w:w="3836" w:type="dxa"/>
            <w:gridSpan w:val="4"/>
            <w:vAlign w:val="top"/>
          </w:tcPr>
          <w:p w14:paraId="1F3BB373">
            <w:pPr>
              <w:pStyle w:val="12"/>
              <w:keepNext w:val="0"/>
              <w:keepLines w:val="0"/>
              <w:pageBreakBefore w:val="0"/>
              <w:widowControl w:val="0"/>
              <w:wordWrap/>
              <w:topLinePunct w:val="0"/>
              <w:autoSpaceDE w:val="0"/>
              <w:autoSpaceDN w:val="0"/>
              <w:bidi w:val="0"/>
              <w:adjustRightInd w:val="0"/>
              <w:snapToGrid w:val="0"/>
              <w:spacing w:line="600" w:lineRule="exact"/>
              <w:ind w:left="57"/>
              <w:jc w:val="center"/>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单位申报意见（签章）</w:t>
            </w:r>
          </w:p>
          <w:p w14:paraId="12BC9DC9">
            <w:pPr>
              <w:keepNext w:val="0"/>
              <w:keepLines w:val="0"/>
              <w:pageBreakBefore w:val="0"/>
              <w:widowControl w:val="0"/>
              <w:wordWrap/>
              <w:topLinePunct w:val="0"/>
              <w:autoSpaceDE w:val="0"/>
              <w:autoSpaceDN w:val="0"/>
              <w:bidi w:val="0"/>
              <w:adjustRightInd w:val="0"/>
              <w:snapToGrid w:val="0"/>
              <w:spacing w:line="600" w:lineRule="exact"/>
              <w:jc w:val="center"/>
              <w:rPr>
                <w:rFonts w:hint="default" w:ascii="Times New Roman" w:hAnsi="Times New Roman" w:eastAsia="仿宋" w:cs="Times New Roman"/>
                <w:sz w:val="28"/>
                <w:szCs w:val="28"/>
              </w:rPr>
            </w:pPr>
          </w:p>
          <w:p w14:paraId="75F8854F">
            <w:pPr>
              <w:pStyle w:val="12"/>
              <w:keepNext w:val="0"/>
              <w:keepLines w:val="0"/>
              <w:pageBreakBefore w:val="0"/>
              <w:widowControl w:val="0"/>
              <w:wordWrap/>
              <w:topLinePunct w:val="0"/>
              <w:autoSpaceDE w:val="0"/>
              <w:autoSpaceDN w:val="0"/>
              <w:bidi w:val="0"/>
              <w:adjustRightInd w:val="0"/>
              <w:snapToGrid w:val="0"/>
              <w:spacing w:line="6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pacing w:val="-7"/>
                <w:sz w:val="28"/>
                <w:szCs w:val="28"/>
              </w:rPr>
              <w:t>年</w:t>
            </w:r>
            <w:r>
              <w:rPr>
                <w:rFonts w:hint="default" w:ascii="Times New Roman" w:hAnsi="Times New Roman" w:eastAsia="仿宋" w:cs="Times New Roman"/>
                <w:spacing w:val="3"/>
                <w:sz w:val="28"/>
                <w:szCs w:val="28"/>
              </w:rPr>
              <w:t xml:space="preserve">   </w:t>
            </w:r>
            <w:r>
              <w:rPr>
                <w:rFonts w:hint="default" w:ascii="Times New Roman" w:hAnsi="Times New Roman" w:eastAsia="仿宋" w:cs="Times New Roman"/>
                <w:spacing w:val="-7"/>
                <w:sz w:val="28"/>
                <w:szCs w:val="28"/>
              </w:rPr>
              <w:t>月</w:t>
            </w:r>
            <w:r>
              <w:rPr>
                <w:rFonts w:hint="default" w:ascii="Times New Roman" w:hAnsi="Times New Roman" w:eastAsia="仿宋" w:cs="Times New Roman"/>
                <w:spacing w:val="10"/>
                <w:sz w:val="28"/>
                <w:szCs w:val="28"/>
              </w:rPr>
              <w:t xml:space="preserve">    </w:t>
            </w:r>
            <w:r>
              <w:rPr>
                <w:rFonts w:hint="default" w:ascii="Times New Roman" w:hAnsi="Times New Roman" w:eastAsia="仿宋" w:cs="Times New Roman"/>
                <w:spacing w:val="-7"/>
                <w:sz w:val="28"/>
                <w:szCs w:val="28"/>
              </w:rPr>
              <w:t>日</w:t>
            </w:r>
          </w:p>
        </w:tc>
        <w:tc>
          <w:tcPr>
            <w:tcW w:w="3133" w:type="dxa"/>
            <w:gridSpan w:val="3"/>
            <w:vAlign w:val="top"/>
          </w:tcPr>
          <w:p w14:paraId="35641DCF">
            <w:pPr>
              <w:pStyle w:val="12"/>
              <w:keepNext w:val="0"/>
              <w:keepLines w:val="0"/>
              <w:pageBreakBefore w:val="0"/>
              <w:widowControl w:val="0"/>
              <w:wordWrap/>
              <w:topLinePunct w:val="0"/>
              <w:autoSpaceDE w:val="0"/>
              <w:autoSpaceDN w:val="0"/>
              <w:bidi w:val="0"/>
              <w:adjustRightInd w:val="0"/>
              <w:snapToGrid w:val="0"/>
              <w:spacing w:line="600" w:lineRule="exact"/>
              <w:ind w:left="57"/>
              <w:jc w:val="center"/>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主管部门审核意见</w:t>
            </w:r>
          </w:p>
          <w:p w14:paraId="50488F73">
            <w:pPr>
              <w:pStyle w:val="12"/>
              <w:keepNext w:val="0"/>
              <w:keepLines w:val="0"/>
              <w:pageBreakBefore w:val="0"/>
              <w:widowControl w:val="0"/>
              <w:wordWrap/>
              <w:topLinePunct w:val="0"/>
              <w:autoSpaceDE w:val="0"/>
              <w:autoSpaceDN w:val="0"/>
              <w:bidi w:val="0"/>
              <w:adjustRightInd w:val="0"/>
              <w:snapToGrid w:val="0"/>
              <w:spacing w:line="600" w:lineRule="exact"/>
              <w:ind w:left="57"/>
              <w:jc w:val="center"/>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（签章）</w:t>
            </w:r>
          </w:p>
          <w:p w14:paraId="5A45354B">
            <w:pPr>
              <w:pStyle w:val="12"/>
              <w:keepNext w:val="0"/>
              <w:keepLines w:val="0"/>
              <w:pageBreakBefore w:val="0"/>
              <w:widowControl w:val="0"/>
              <w:wordWrap/>
              <w:topLinePunct w:val="0"/>
              <w:autoSpaceDE w:val="0"/>
              <w:autoSpaceDN w:val="0"/>
              <w:bidi w:val="0"/>
              <w:adjustRightInd w:val="0"/>
              <w:snapToGrid w:val="0"/>
              <w:spacing w:line="600" w:lineRule="exact"/>
              <w:ind w:left="57"/>
              <w:jc w:val="center"/>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lang w:val="en-US" w:eastAsia="zh-CN"/>
              </w:rPr>
              <w:t xml:space="preserve">         </w:t>
            </w:r>
            <w:r>
              <w:rPr>
                <w:rFonts w:hint="default" w:ascii="Times New Roman" w:hAnsi="Times New Roman" w:eastAsia="仿宋" w:cs="Times New Roman"/>
                <w:spacing w:val="-1"/>
                <w:sz w:val="28"/>
                <w:szCs w:val="28"/>
              </w:rPr>
              <w:t>年   月   日</w:t>
            </w:r>
          </w:p>
        </w:tc>
        <w:tc>
          <w:tcPr>
            <w:tcW w:w="3684" w:type="dxa"/>
            <w:gridSpan w:val="2"/>
            <w:vAlign w:val="top"/>
          </w:tcPr>
          <w:p w14:paraId="12F9B979">
            <w:pPr>
              <w:pStyle w:val="12"/>
              <w:keepNext w:val="0"/>
              <w:keepLines w:val="0"/>
              <w:pageBreakBefore w:val="0"/>
              <w:widowControl w:val="0"/>
              <w:wordWrap/>
              <w:topLinePunct w:val="0"/>
              <w:autoSpaceDE w:val="0"/>
              <w:autoSpaceDN w:val="0"/>
              <w:bidi w:val="0"/>
              <w:adjustRightInd w:val="0"/>
              <w:snapToGrid w:val="0"/>
              <w:spacing w:line="600" w:lineRule="exact"/>
              <w:ind w:left="57"/>
              <w:jc w:val="center"/>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县机关事务</w:t>
            </w:r>
            <w:r>
              <w:rPr>
                <w:rFonts w:hint="default" w:ascii="Times New Roman" w:hAnsi="Times New Roman" w:eastAsia="仿宋" w:cs="Times New Roman"/>
                <w:spacing w:val="-1"/>
                <w:sz w:val="28"/>
                <w:szCs w:val="28"/>
                <w:lang w:val="en-US" w:eastAsia="zh-CN"/>
              </w:rPr>
              <w:t>服务</w:t>
            </w:r>
            <w:r>
              <w:rPr>
                <w:rFonts w:hint="default" w:ascii="Times New Roman" w:hAnsi="Times New Roman" w:eastAsia="仿宋" w:cs="Times New Roman"/>
                <w:spacing w:val="-1"/>
                <w:sz w:val="28"/>
                <w:szCs w:val="28"/>
              </w:rPr>
              <w:t>中心意见</w:t>
            </w:r>
          </w:p>
          <w:p w14:paraId="25C8F23D">
            <w:pPr>
              <w:pStyle w:val="12"/>
              <w:keepNext w:val="0"/>
              <w:keepLines w:val="0"/>
              <w:pageBreakBefore w:val="0"/>
              <w:widowControl w:val="0"/>
              <w:wordWrap/>
              <w:topLinePunct w:val="0"/>
              <w:autoSpaceDE w:val="0"/>
              <w:autoSpaceDN w:val="0"/>
              <w:bidi w:val="0"/>
              <w:adjustRightInd w:val="0"/>
              <w:snapToGrid w:val="0"/>
              <w:spacing w:line="600" w:lineRule="exact"/>
              <w:ind w:left="57"/>
              <w:jc w:val="center"/>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（签章）</w:t>
            </w:r>
          </w:p>
          <w:p w14:paraId="6C5EE3FD">
            <w:pPr>
              <w:pStyle w:val="12"/>
              <w:keepNext w:val="0"/>
              <w:keepLines w:val="0"/>
              <w:pageBreakBefore w:val="0"/>
              <w:widowControl w:val="0"/>
              <w:wordWrap/>
              <w:topLinePunct w:val="0"/>
              <w:autoSpaceDE w:val="0"/>
              <w:autoSpaceDN w:val="0"/>
              <w:bidi w:val="0"/>
              <w:adjustRightInd w:val="0"/>
              <w:snapToGrid w:val="0"/>
              <w:spacing w:line="600" w:lineRule="exact"/>
              <w:ind w:left="57"/>
              <w:jc w:val="center"/>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lang w:val="en-US" w:eastAsia="zh-CN"/>
              </w:rPr>
              <w:t xml:space="preserve">             </w:t>
            </w:r>
            <w:r>
              <w:rPr>
                <w:rFonts w:hint="default" w:ascii="Times New Roman" w:hAnsi="Times New Roman" w:eastAsia="仿宋" w:cs="Times New Roman"/>
                <w:spacing w:val="-1"/>
                <w:sz w:val="28"/>
                <w:szCs w:val="28"/>
              </w:rPr>
              <w:t>年   月   日</w:t>
            </w:r>
          </w:p>
        </w:tc>
        <w:tc>
          <w:tcPr>
            <w:tcW w:w="3340" w:type="dxa"/>
            <w:gridSpan w:val="2"/>
            <w:vAlign w:val="top"/>
          </w:tcPr>
          <w:p w14:paraId="7DCAEC04">
            <w:pPr>
              <w:pStyle w:val="12"/>
              <w:keepNext w:val="0"/>
              <w:keepLines w:val="0"/>
              <w:pageBreakBefore w:val="0"/>
              <w:widowControl w:val="0"/>
              <w:wordWrap/>
              <w:topLinePunct w:val="0"/>
              <w:autoSpaceDE w:val="0"/>
              <w:autoSpaceDN w:val="0"/>
              <w:bidi w:val="0"/>
              <w:adjustRightInd w:val="0"/>
              <w:snapToGrid w:val="0"/>
              <w:spacing w:line="600" w:lineRule="exact"/>
              <w:ind w:left="57"/>
              <w:jc w:val="center"/>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财政部门意见（盖章）</w:t>
            </w:r>
          </w:p>
          <w:p w14:paraId="564C4B6E">
            <w:pPr>
              <w:pStyle w:val="12"/>
              <w:keepNext w:val="0"/>
              <w:keepLines w:val="0"/>
              <w:pageBreakBefore w:val="0"/>
              <w:widowControl w:val="0"/>
              <w:wordWrap/>
              <w:topLinePunct w:val="0"/>
              <w:autoSpaceDE w:val="0"/>
              <w:autoSpaceDN w:val="0"/>
              <w:bidi w:val="0"/>
              <w:adjustRightInd w:val="0"/>
              <w:snapToGrid w:val="0"/>
              <w:spacing w:line="600" w:lineRule="exact"/>
              <w:ind w:left="57"/>
              <w:jc w:val="center"/>
              <w:rPr>
                <w:rFonts w:hint="default" w:ascii="Times New Roman" w:hAnsi="Times New Roman" w:eastAsia="仿宋" w:cs="Times New Roman"/>
                <w:spacing w:val="-1"/>
                <w:sz w:val="28"/>
                <w:szCs w:val="28"/>
              </w:rPr>
            </w:pPr>
          </w:p>
          <w:p w14:paraId="47124B5C">
            <w:pPr>
              <w:pStyle w:val="12"/>
              <w:keepNext w:val="0"/>
              <w:keepLines w:val="0"/>
              <w:pageBreakBefore w:val="0"/>
              <w:widowControl w:val="0"/>
              <w:wordWrap/>
              <w:topLinePunct w:val="0"/>
              <w:autoSpaceDE w:val="0"/>
              <w:autoSpaceDN w:val="0"/>
              <w:bidi w:val="0"/>
              <w:adjustRightInd w:val="0"/>
              <w:snapToGrid w:val="0"/>
              <w:spacing w:line="600" w:lineRule="exact"/>
              <w:ind w:left="57"/>
              <w:jc w:val="center"/>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lang w:val="en-US" w:eastAsia="zh-CN"/>
              </w:rPr>
              <w:t xml:space="preserve">           </w:t>
            </w:r>
            <w:r>
              <w:rPr>
                <w:rFonts w:hint="default" w:ascii="Times New Roman" w:hAnsi="Times New Roman" w:eastAsia="仿宋" w:cs="Times New Roman"/>
                <w:spacing w:val="-1"/>
                <w:sz w:val="28"/>
                <w:szCs w:val="28"/>
              </w:rPr>
              <w:t>年   月   日</w:t>
            </w:r>
          </w:p>
        </w:tc>
      </w:tr>
    </w:tbl>
    <w:p w14:paraId="5DBEC80B">
      <w:pPr>
        <w:pStyle w:val="2"/>
        <w:keepNext w:val="0"/>
        <w:keepLines w:val="0"/>
        <w:pageBreakBefore w:val="0"/>
        <w:widowControl w:val="0"/>
        <w:wordWrap/>
        <w:topLinePunct w:val="0"/>
        <w:autoSpaceDE w:val="0"/>
        <w:autoSpaceDN w:val="0"/>
        <w:bidi w:val="0"/>
        <w:adjustRightInd w:val="0"/>
        <w:snapToGrid w:val="0"/>
        <w:spacing w:line="600" w:lineRule="exact"/>
        <w:ind w:left="108" w:firstLine="1120" w:firstLineChars="4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说明：1．本表一式四份，申报单位、主管部门、县机关事务服</w:t>
      </w:r>
      <w:r>
        <w:rPr>
          <w:rFonts w:hint="default" w:ascii="Times New Roman" w:hAnsi="Times New Roman" w:eastAsia="仿宋" w:cs="Times New Roman"/>
          <w:spacing w:val="-1"/>
          <w:sz w:val="28"/>
          <w:szCs w:val="28"/>
        </w:rPr>
        <w:t>务中心、财政部门各一份；</w:t>
      </w:r>
    </w:p>
    <w:p w14:paraId="6A06BFC1">
      <w:pPr>
        <w:pStyle w:val="2"/>
        <w:keepNext w:val="0"/>
        <w:keepLines w:val="0"/>
        <w:pageBreakBefore w:val="0"/>
        <w:widowControl w:val="0"/>
        <w:wordWrap/>
        <w:topLinePunct w:val="0"/>
        <w:autoSpaceDE w:val="0"/>
        <w:autoSpaceDN w:val="0"/>
        <w:bidi w:val="0"/>
        <w:adjustRightInd w:val="0"/>
        <w:snapToGrid w:val="0"/>
        <w:spacing w:line="600" w:lineRule="exact"/>
        <w:ind w:left="108" w:firstLine="1960" w:firstLineChars="7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2．此表栏数不够，可自行增加栏数或另附表格；</w:t>
      </w:r>
    </w:p>
    <w:p w14:paraId="45707AC4">
      <w:pPr>
        <w:pStyle w:val="2"/>
        <w:keepNext w:val="0"/>
        <w:keepLines w:val="0"/>
        <w:pageBreakBefore w:val="0"/>
        <w:widowControl w:val="0"/>
        <w:wordWrap/>
        <w:topLinePunct w:val="0"/>
        <w:autoSpaceDE w:val="0"/>
        <w:autoSpaceDN w:val="0"/>
        <w:bidi w:val="0"/>
        <w:adjustRightInd w:val="0"/>
        <w:snapToGrid w:val="0"/>
        <w:spacing w:line="600" w:lineRule="exact"/>
        <w:ind w:left="108" w:firstLine="1960" w:firstLineChars="7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3．有偿使用方式</w:t>
      </w:r>
      <w:r>
        <w:rPr>
          <w:rFonts w:hint="default" w:ascii="Times New Roman" w:hAnsi="Times New Roman" w:eastAsia="仿宋" w:cs="Times New Roman"/>
          <w:sz w:val="28"/>
          <w:szCs w:val="28"/>
          <w:lang w:val="en-US" w:eastAsia="zh-CN"/>
        </w:rPr>
        <w:t>分为：</w:t>
      </w:r>
      <w:r>
        <w:rPr>
          <w:rFonts w:hint="default" w:ascii="Times New Roman" w:hAnsi="Times New Roman" w:eastAsia="仿宋" w:cs="Times New Roman"/>
          <w:sz w:val="28"/>
          <w:szCs w:val="28"/>
        </w:rPr>
        <w:t>出租、出借，按照实际情况填写</w:t>
      </w:r>
      <w:r>
        <w:rPr>
          <w:rFonts w:hint="default" w:ascii="Times New Roman" w:hAnsi="Times New Roman" w:eastAsia="仿宋" w:cs="Times New Roman"/>
          <w:sz w:val="28"/>
          <w:szCs w:val="28"/>
          <w:lang w:eastAsia="zh-CN"/>
        </w:rPr>
        <w:t>。</w:t>
      </w:r>
    </w:p>
    <w:p w14:paraId="2E7493A4">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firstLine="0" w:firstLineChars="0"/>
        <w:textAlignment w:val="baseline"/>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附件 2</w:t>
      </w:r>
    </w:p>
    <w:p w14:paraId="494F1CC0">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jc w:val="center"/>
        <w:textAlignment w:val="baseline"/>
        <w:outlineLvl w:val="0"/>
        <w:rPr>
          <w:rFonts w:hint="default" w:ascii="方正小标宋简体" w:hAnsi="方正小标宋简体" w:eastAsia="方正小标宋简体" w:cs="方正小标宋简体"/>
          <w:b w:val="0"/>
          <w:bCs w:val="0"/>
          <w:spacing w:val="7"/>
          <w:sz w:val="44"/>
          <w:szCs w:val="44"/>
          <w:lang w:eastAsia="zh-CN"/>
        </w:rPr>
      </w:pPr>
      <w:r>
        <w:rPr>
          <w:rFonts w:hint="default" w:ascii="方正小标宋简体" w:hAnsi="方正小标宋简体" w:eastAsia="方正小标宋简体" w:cs="方正小标宋简体"/>
          <w:b w:val="0"/>
          <w:bCs w:val="0"/>
          <w:spacing w:val="7"/>
          <w:sz w:val="44"/>
          <w:szCs w:val="44"/>
          <w:lang w:eastAsia="zh-CN"/>
        </w:rPr>
        <w:t>宜阳县行政事业单位</w:t>
      </w:r>
      <w:r>
        <w:rPr>
          <w:rFonts w:hint="default" w:ascii="方正小标宋简体" w:hAnsi="方正小标宋简体" w:eastAsia="方正小标宋简体" w:cs="方正小标宋简体"/>
          <w:b w:val="0"/>
          <w:bCs w:val="0"/>
          <w:spacing w:val="7"/>
          <w:sz w:val="44"/>
          <w:szCs w:val="44"/>
          <w:lang w:val="en-US" w:eastAsia="zh-CN"/>
        </w:rPr>
        <w:t>国有</w:t>
      </w:r>
      <w:r>
        <w:rPr>
          <w:rFonts w:hint="default" w:ascii="方正小标宋简体" w:hAnsi="方正小标宋简体" w:eastAsia="方正小标宋简体" w:cs="方正小标宋简体"/>
          <w:b w:val="0"/>
          <w:bCs w:val="0"/>
          <w:spacing w:val="7"/>
          <w:sz w:val="44"/>
          <w:szCs w:val="44"/>
          <w:lang w:eastAsia="zh-CN"/>
        </w:rPr>
        <w:t>土地及地上建筑物</w:t>
      </w:r>
    </w:p>
    <w:p w14:paraId="1C0D6DC0">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jc w:val="center"/>
        <w:textAlignment w:val="baseline"/>
        <w:outlineLvl w:val="0"/>
        <w:rPr>
          <w:rFonts w:hint="default" w:ascii="方正小标宋简体" w:hAnsi="方正小标宋简体" w:eastAsia="方正小标宋简体" w:cs="方正小标宋简体"/>
          <w:b w:val="0"/>
          <w:bCs w:val="0"/>
          <w:spacing w:val="7"/>
          <w:sz w:val="44"/>
          <w:szCs w:val="44"/>
          <w:lang w:eastAsia="zh-CN"/>
        </w:rPr>
      </w:pPr>
      <w:r>
        <w:rPr>
          <w:rFonts w:hint="default" w:ascii="方正小标宋简体" w:hAnsi="方正小标宋简体" w:eastAsia="方正小标宋简体" w:cs="方正小标宋简体"/>
          <w:b w:val="0"/>
          <w:bCs w:val="0"/>
          <w:spacing w:val="7"/>
          <w:sz w:val="44"/>
          <w:szCs w:val="44"/>
          <w:lang w:eastAsia="zh-CN"/>
        </w:rPr>
        <w:t>（含</w:t>
      </w:r>
      <w:r>
        <w:rPr>
          <w:rFonts w:hint="default" w:ascii="方正小标宋简体" w:hAnsi="方正小标宋简体" w:eastAsia="方正小标宋简体" w:cs="方正小标宋简体"/>
          <w:b w:val="0"/>
          <w:bCs w:val="0"/>
          <w:spacing w:val="7"/>
          <w:sz w:val="44"/>
          <w:szCs w:val="44"/>
          <w:lang w:val="en-US" w:eastAsia="zh-CN"/>
        </w:rPr>
        <w:t>构筑</w:t>
      </w:r>
      <w:r>
        <w:rPr>
          <w:rFonts w:hint="default" w:ascii="方正小标宋简体" w:hAnsi="方正小标宋简体" w:eastAsia="方正小标宋简体" w:cs="方正小标宋简体"/>
          <w:b w:val="0"/>
          <w:bCs w:val="0"/>
          <w:spacing w:val="7"/>
          <w:sz w:val="44"/>
          <w:szCs w:val="44"/>
          <w:lang w:eastAsia="zh-CN"/>
        </w:rPr>
        <w:t>物）出租、出借申请表</w:t>
      </w:r>
    </w:p>
    <w:p w14:paraId="6520404D">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firstLine="0" w:firstLineChars="0"/>
        <w:jc w:val="both"/>
        <w:textAlignment w:val="baseline"/>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rPr>
        <w:t>填报单位：</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pacing w:val="-4"/>
          <w:sz w:val="28"/>
          <w:szCs w:val="28"/>
        </w:rPr>
        <w:t>申报日期：</w:t>
      </w:r>
      <w:r>
        <w:rPr>
          <w:rFonts w:hint="default" w:ascii="Times New Roman" w:hAnsi="Times New Roman" w:eastAsia="仿宋" w:cs="Times New Roman"/>
          <w:spacing w:val="9"/>
          <w:sz w:val="28"/>
          <w:szCs w:val="28"/>
        </w:rPr>
        <w:t xml:space="preserve">      </w:t>
      </w:r>
      <w:r>
        <w:rPr>
          <w:rFonts w:hint="default" w:ascii="Times New Roman" w:hAnsi="Times New Roman" w:eastAsia="仿宋" w:cs="Times New Roman"/>
          <w:spacing w:val="-4"/>
          <w:sz w:val="28"/>
          <w:szCs w:val="28"/>
        </w:rPr>
        <w:t xml:space="preserve">年 </w:t>
      </w:r>
      <w:r>
        <w:rPr>
          <w:rFonts w:hint="eastAsia" w:ascii="Times New Roman" w:hAnsi="Times New Roman" w:eastAsia="仿宋" w:cs="Times New Roman"/>
          <w:spacing w:val="-4"/>
          <w:sz w:val="28"/>
          <w:szCs w:val="28"/>
          <w:lang w:val="en-US" w:eastAsia="zh-CN"/>
        </w:rPr>
        <w:t xml:space="preserve"> </w:t>
      </w:r>
      <w:r>
        <w:rPr>
          <w:rFonts w:hint="default" w:ascii="Times New Roman" w:hAnsi="Times New Roman" w:eastAsia="仿宋" w:cs="Times New Roman"/>
          <w:spacing w:val="-4"/>
          <w:sz w:val="28"/>
          <w:szCs w:val="28"/>
        </w:rPr>
        <w:t xml:space="preserve">  月    </w:t>
      </w:r>
      <w:r>
        <w:rPr>
          <w:rFonts w:hint="default" w:ascii="Times New Roman" w:hAnsi="Times New Roman" w:eastAsia="仿宋" w:cs="Times New Roman"/>
          <w:spacing w:val="-4"/>
          <w:sz w:val="28"/>
          <w:szCs w:val="28"/>
          <w:lang w:val="en-US" w:eastAsia="zh-CN"/>
        </w:rPr>
        <w:t>日</w:t>
      </w:r>
      <w:r>
        <w:rPr>
          <w:rFonts w:hint="default" w:ascii="Times New Roman" w:hAnsi="Times New Roman" w:eastAsia="仿宋" w:cs="Times New Roman"/>
          <w:spacing w:val="1"/>
          <w:sz w:val="28"/>
          <w:szCs w:val="28"/>
        </w:rPr>
        <w:t xml:space="preserve">            </w:t>
      </w:r>
      <w:r>
        <w:rPr>
          <w:rFonts w:hint="eastAsia" w:ascii="Times New Roman" w:hAnsi="Times New Roman" w:eastAsia="仿宋" w:cs="Times New Roman"/>
          <w:spacing w:val="1"/>
          <w:sz w:val="28"/>
          <w:szCs w:val="28"/>
          <w:lang w:val="en-US" w:eastAsia="zh-CN"/>
        </w:rPr>
        <w:t xml:space="preserve">                        </w:t>
      </w:r>
      <w:r>
        <w:rPr>
          <w:rFonts w:hint="default" w:ascii="Times New Roman" w:hAnsi="Times New Roman" w:eastAsia="仿宋" w:cs="Times New Roman"/>
          <w:spacing w:val="1"/>
          <w:sz w:val="28"/>
          <w:szCs w:val="28"/>
        </w:rPr>
        <w:t xml:space="preserve">       </w:t>
      </w:r>
      <w:r>
        <w:rPr>
          <w:rFonts w:hint="eastAsia" w:ascii="Times New Roman" w:hAnsi="Times New Roman" w:eastAsia="仿宋" w:cs="Times New Roman"/>
          <w:spacing w:val="1"/>
          <w:sz w:val="28"/>
          <w:szCs w:val="28"/>
          <w:lang w:val="en-US" w:eastAsia="zh-CN"/>
        </w:rPr>
        <w:t xml:space="preserve">           </w:t>
      </w:r>
      <w:r>
        <w:rPr>
          <w:rFonts w:hint="default" w:ascii="Times New Roman" w:hAnsi="Times New Roman" w:eastAsia="仿宋" w:cs="Times New Roman"/>
          <w:spacing w:val="1"/>
          <w:sz w:val="28"/>
          <w:szCs w:val="28"/>
        </w:rPr>
        <w:t xml:space="preserve">   </w:t>
      </w:r>
      <w:r>
        <w:rPr>
          <w:rFonts w:hint="default" w:ascii="Times New Roman" w:hAnsi="Times New Roman" w:eastAsia="仿宋" w:cs="Times New Roman"/>
          <w:spacing w:val="-4"/>
          <w:sz w:val="28"/>
          <w:szCs w:val="28"/>
        </w:rPr>
        <w:t>金额单位</w:t>
      </w:r>
      <w:r>
        <w:rPr>
          <w:rFonts w:hint="default" w:ascii="Times New Roman" w:hAnsi="Times New Roman" w:eastAsia="仿宋" w:cs="Times New Roman"/>
          <w:spacing w:val="-5"/>
          <w:sz w:val="28"/>
          <w:szCs w:val="28"/>
        </w:rPr>
        <w:t>：元</w:t>
      </w:r>
    </w:p>
    <w:tbl>
      <w:tblPr>
        <w:tblStyle w:val="7"/>
        <w:tblW w:w="141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0"/>
        <w:gridCol w:w="1051"/>
        <w:gridCol w:w="1348"/>
        <w:gridCol w:w="863"/>
        <w:gridCol w:w="219"/>
        <w:gridCol w:w="1021"/>
        <w:gridCol w:w="1026"/>
        <w:gridCol w:w="1429"/>
        <w:gridCol w:w="215"/>
        <w:gridCol w:w="973"/>
        <w:gridCol w:w="1165"/>
        <w:gridCol w:w="975"/>
        <w:gridCol w:w="1609"/>
        <w:gridCol w:w="1670"/>
      </w:tblGrid>
      <w:tr w14:paraId="1BDD7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jc w:val="center"/>
        </w:trPr>
        <w:tc>
          <w:tcPr>
            <w:tcW w:w="610" w:type="dxa"/>
            <w:vAlign w:val="center"/>
          </w:tcPr>
          <w:p w14:paraId="1DB82090">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38"/>
              <w:jc w:val="center"/>
              <w:textAlignment w:val="baseline"/>
              <w:rPr>
                <w:rFonts w:hint="eastAsia" w:ascii="黑体" w:hAnsi="黑体" w:eastAsia="黑体" w:cs="黑体"/>
                <w:sz w:val="28"/>
                <w:szCs w:val="28"/>
              </w:rPr>
            </w:pPr>
            <w:r>
              <w:rPr>
                <w:rFonts w:hint="eastAsia" w:ascii="黑体" w:hAnsi="黑体" w:eastAsia="黑体" w:cs="黑体"/>
                <w:spacing w:val="-4"/>
                <w:sz w:val="28"/>
                <w:szCs w:val="28"/>
              </w:rPr>
              <w:t>序号</w:t>
            </w:r>
          </w:p>
        </w:tc>
        <w:tc>
          <w:tcPr>
            <w:tcW w:w="1051" w:type="dxa"/>
            <w:vAlign w:val="center"/>
          </w:tcPr>
          <w:p w14:paraId="35F386EB">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212" w:right="203" w:hanging="1"/>
              <w:jc w:val="center"/>
              <w:textAlignment w:val="baseline"/>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资产名称</w:t>
            </w:r>
          </w:p>
        </w:tc>
        <w:tc>
          <w:tcPr>
            <w:tcW w:w="1348" w:type="dxa"/>
            <w:vAlign w:val="center"/>
          </w:tcPr>
          <w:p w14:paraId="067FA48C">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109" w:right="103" w:firstLine="6"/>
              <w:jc w:val="center"/>
              <w:textAlignment w:val="baseline"/>
              <w:rPr>
                <w:rFonts w:hint="eastAsia" w:ascii="黑体" w:hAnsi="黑体" w:eastAsia="黑体" w:cs="黑体"/>
                <w:sz w:val="28"/>
                <w:szCs w:val="28"/>
                <w:lang w:val="en-US" w:eastAsia="zh-CN"/>
              </w:rPr>
            </w:pPr>
            <w:r>
              <w:rPr>
                <w:rFonts w:hint="eastAsia" w:ascii="黑体" w:hAnsi="黑体" w:eastAsia="黑体" w:cs="黑体"/>
                <w:spacing w:val="-8"/>
                <w:sz w:val="28"/>
                <w:szCs w:val="28"/>
              </w:rPr>
              <w:t>土地房</w:t>
            </w:r>
            <w:r>
              <w:rPr>
                <w:rFonts w:hint="eastAsia" w:ascii="黑体" w:hAnsi="黑体" w:eastAsia="黑体" w:cs="黑体"/>
                <w:spacing w:val="-8"/>
                <w:sz w:val="28"/>
                <w:szCs w:val="28"/>
                <w:lang w:val="en-US" w:eastAsia="zh-CN"/>
              </w:rPr>
              <w:t>屋座</w:t>
            </w:r>
            <w:r>
              <w:rPr>
                <w:rFonts w:hint="eastAsia" w:ascii="黑体" w:hAnsi="黑体" w:eastAsia="黑体" w:cs="黑体"/>
                <w:spacing w:val="-8"/>
                <w:sz w:val="28"/>
                <w:szCs w:val="28"/>
              </w:rPr>
              <w:t>落</w:t>
            </w:r>
            <w:r>
              <w:rPr>
                <w:rFonts w:hint="eastAsia" w:ascii="黑体" w:hAnsi="黑体" w:eastAsia="黑体" w:cs="黑体"/>
                <w:spacing w:val="-8"/>
                <w:sz w:val="28"/>
                <w:szCs w:val="28"/>
                <w:lang w:val="en-US" w:eastAsia="zh-CN"/>
              </w:rPr>
              <w:t>地</w:t>
            </w:r>
          </w:p>
        </w:tc>
        <w:tc>
          <w:tcPr>
            <w:tcW w:w="1082" w:type="dxa"/>
            <w:gridSpan w:val="2"/>
            <w:vAlign w:val="center"/>
          </w:tcPr>
          <w:p w14:paraId="703A5E83">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212" w:right="203" w:hanging="1"/>
              <w:jc w:val="center"/>
              <w:textAlignment w:val="baseline"/>
              <w:rPr>
                <w:rFonts w:hint="eastAsia" w:ascii="黑体" w:hAnsi="黑体" w:eastAsia="黑体" w:cs="黑体"/>
                <w:sz w:val="28"/>
                <w:szCs w:val="28"/>
              </w:rPr>
            </w:pPr>
            <w:r>
              <w:rPr>
                <w:rFonts w:hint="eastAsia" w:ascii="黑体" w:hAnsi="黑体" w:eastAsia="黑体" w:cs="黑体"/>
                <w:spacing w:val="-5"/>
                <w:sz w:val="28"/>
                <w:szCs w:val="28"/>
                <w:lang w:val="en-US" w:eastAsia="zh-CN"/>
              </w:rPr>
              <w:t>资产编号</w:t>
            </w:r>
          </w:p>
        </w:tc>
        <w:tc>
          <w:tcPr>
            <w:tcW w:w="1021" w:type="dxa"/>
            <w:vAlign w:val="center"/>
          </w:tcPr>
          <w:p w14:paraId="1F6AA0EC">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212" w:right="203" w:hanging="1"/>
              <w:jc w:val="center"/>
              <w:textAlignment w:val="baseline"/>
              <w:rPr>
                <w:rFonts w:hint="eastAsia" w:ascii="黑体" w:hAnsi="黑体" w:eastAsia="黑体" w:cs="黑体"/>
                <w:sz w:val="28"/>
                <w:szCs w:val="28"/>
              </w:rPr>
            </w:pPr>
            <w:r>
              <w:rPr>
                <w:rFonts w:hint="eastAsia" w:ascii="黑体" w:hAnsi="黑体" w:eastAsia="黑体" w:cs="黑体"/>
                <w:spacing w:val="-5"/>
                <w:sz w:val="28"/>
                <w:szCs w:val="28"/>
                <w:lang w:val="en-US" w:eastAsia="zh-CN"/>
              </w:rPr>
              <w:t>计量单位</w:t>
            </w:r>
          </w:p>
        </w:tc>
        <w:tc>
          <w:tcPr>
            <w:tcW w:w="1026" w:type="dxa"/>
            <w:vAlign w:val="center"/>
          </w:tcPr>
          <w:p w14:paraId="105BEDFA">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186"/>
              <w:jc w:val="both"/>
              <w:textAlignment w:val="baseline"/>
              <w:rPr>
                <w:rFonts w:hint="eastAsia" w:ascii="黑体" w:hAnsi="黑体" w:eastAsia="黑体" w:cs="黑体"/>
                <w:sz w:val="28"/>
                <w:szCs w:val="28"/>
              </w:rPr>
            </w:pPr>
            <w:r>
              <w:rPr>
                <w:rFonts w:hint="eastAsia" w:ascii="黑体" w:hAnsi="黑体" w:eastAsia="黑体" w:cs="黑体"/>
                <w:spacing w:val="-4"/>
                <w:sz w:val="28"/>
                <w:szCs w:val="28"/>
              </w:rPr>
              <w:t>面积</w:t>
            </w:r>
          </w:p>
        </w:tc>
        <w:tc>
          <w:tcPr>
            <w:tcW w:w="1644" w:type="dxa"/>
            <w:gridSpan w:val="2"/>
            <w:vAlign w:val="center"/>
          </w:tcPr>
          <w:p w14:paraId="47A6FA5F">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204" w:right="193" w:hanging="1"/>
              <w:jc w:val="center"/>
              <w:textAlignment w:val="baseline"/>
              <w:rPr>
                <w:rFonts w:hint="eastAsia" w:ascii="黑体" w:hAnsi="黑体" w:eastAsia="黑体" w:cs="黑体"/>
                <w:sz w:val="28"/>
                <w:szCs w:val="28"/>
              </w:rPr>
            </w:pPr>
            <w:r>
              <w:rPr>
                <w:rFonts w:hint="eastAsia" w:ascii="黑体" w:hAnsi="黑体" w:eastAsia="黑体" w:cs="黑体"/>
                <w:spacing w:val="-5"/>
                <w:sz w:val="28"/>
                <w:szCs w:val="28"/>
              </w:rPr>
              <w:t>账面</w:t>
            </w:r>
            <w:r>
              <w:rPr>
                <w:rFonts w:hint="eastAsia" w:ascii="黑体" w:hAnsi="黑体" w:eastAsia="黑体" w:cs="黑体"/>
                <w:spacing w:val="-6"/>
                <w:sz w:val="28"/>
                <w:szCs w:val="28"/>
              </w:rPr>
              <w:t>原值</w:t>
            </w:r>
          </w:p>
        </w:tc>
        <w:tc>
          <w:tcPr>
            <w:tcW w:w="973" w:type="dxa"/>
            <w:vAlign w:val="center"/>
          </w:tcPr>
          <w:p w14:paraId="37E4A17F">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jc w:val="both"/>
              <w:textAlignment w:val="baseline"/>
              <w:rPr>
                <w:rFonts w:hint="eastAsia" w:ascii="黑体" w:hAnsi="黑体" w:eastAsia="黑体" w:cs="黑体"/>
                <w:spacing w:val="-2"/>
                <w:sz w:val="28"/>
                <w:szCs w:val="28"/>
              </w:rPr>
            </w:pPr>
            <w:r>
              <w:rPr>
                <w:rFonts w:hint="eastAsia" w:ascii="黑体" w:hAnsi="黑体" w:eastAsia="黑体" w:cs="黑体"/>
                <w:spacing w:val="-2"/>
                <w:sz w:val="28"/>
                <w:szCs w:val="28"/>
              </w:rPr>
              <w:t>房产产</w:t>
            </w:r>
          </w:p>
          <w:p w14:paraId="768A5C12">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jc w:val="both"/>
              <w:textAlignment w:val="baseline"/>
              <w:rPr>
                <w:rFonts w:hint="eastAsia" w:ascii="黑体" w:hAnsi="黑体" w:eastAsia="黑体" w:cs="黑体"/>
                <w:sz w:val="28"/>
                <w:szCs w:val="28"/>
              </w:rPr>
            </w:pPr>
            <w:r>
              <w:rPr>
                <w:rFonts w:hint="eastAsia" w:ascii="黑体" w:hAnsi="黑体" w:eastAsia="黑体" w:cs="黑体"/>
                <w:spacing w:val="-2"/>
                <w:sz w:val="28"/>
                <w:szCs w:val="28"/>
              </w:rPr>
              <w:t>权证号</w:t>
            </w:r>
          </w:p>
        </w:tc>
        <w:tc>
          <w:tcPr>
            <w:tcW w:w="1165" w:type="dxa"/>
            <w:vAlign w:val="center"/>
          </w:tcPr>
          <w:p w14:paraId="5C711616">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97" w:right="87"/>
              <w:jc w:val="center"/>
              <w:textAlignment w:val="baseline"/>
              <w:rPr>
                <w:rFonts w:hint="eastAsia" w:ascii="黑体" w:hAnsi="黑体" w:eastAsia="黑体" w:cs="黑体"/>
                <w:sz w:val="28"/>
                <w:szCs w:val="28"/>
              </w:rPr>
            </w:pPr>
            <w:r>
              <w:rPr>
                <w:rFonts w:hint="eastAsia" w:ascii="黑体" w:hAnsi="黑体" w:eastAsia="黑体" w:cs="黑体"/>
                <w:spacing w:val="-3"/>
                <w:sz w:val="28"/>
                <w:szCs w:val="28"/>
              </w:rPr>
              <w:t>土地使</w:t>
            </w:r>
            <w:r>
              <w:rPr>
                <w:rFonts w:hint="eastAsia" w:ascii="黑体" w:hAnsi="黑体" w:eastAsia="黑体" w:cs="黑体"/>
                <w:sz w:val="28"/>
                <w:szCs w:val="28"/>
              </w:rPr>
              <w:t xml:space="preserve"> </w:t>
            </w:r>
            <w:r>
              <w:rPr>
                <w:rFonts w:hint="eastAsia" w:ascii="黑体" w:hAnsi="黑体" w:eastAsia="黑体" w:cs="黑体"/>
                <w:spacing w:val="-3"/>
                <w:sz w:val="28"/>
                <w:szCs w:val="28"/>
              </w:rPr>
              <w:t>用证号</w:t>
            </w:r>
          </w:p>
        </w:tc>
        <w:tc>
          <w:tcPr>
            <w:tcW w:w="975" w:type="dxa"/>
            <w:vAlign w:val="center"/>
          </w:tcPr>
          <w:p w14:paraId="411EC971">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78" w:right="69"/>
              <w:jc w:val="center"/>
              <w:textAlignment w:val="baseline"/>
              <w:rPr>
                <w:rFonts w:hint="eastAsia" w:ascii="黑体" w:hAnsi="黑体" w:eastAsia="黑体" w:cs="黑体"/>
                <w:sz w:val="28"/>
                <w:szCs w:val="28"/>
              </w:rPr>
            </w:pPr>
            <w:r>
              <w:rPr>
                <w:rFonts w:hint="eastAsia" w:ascii="黑体" w:hAnsi="黑体" w:eastAsia="黑体" w:cs="黑体"/>
                <w:spacing w:val="-3"/>
                <w:sz w:val="28"/>
                <w:szCs w:val="28"/>
              </w:rPr>
              <w:t>有偿使用方式</w:t>
            </w:r>
          </w:p>
        </w:tc>
        <w:tc>
          <w:tcPr>
            <w:tcW w:w="1609" w:type="dxa"/>
            <w:vAlign w:val="center"/>
          </w:tcPr>
          <w:p w14:paraId="0BF786F7">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ind w:left="395" w:right="112" w:hanging="273"/>
              <w:jc w:val="center"/>
              <w:textAlignment w:val="baseline"/>
              <w:rPr>
                <w:rFonts w:hint="eastAsia" w:ascii="黑体" w:hAnsi="黑体" w:eastAsia="黑体" w:cs="黑体"/>
                <w:sz w:val="28"/>
                <w:szCs w:val="28"/>
              </w:rPr>
            </w:pPr>
            <w:r>
              <w:rPr>
                <w:rFonts w:hint="eastAsia" w:ascii="黑体" w:hAnsi="黑体" w:eastAsia="黑体" w:cs="黑体"/>
                <w:spacing w:val="-2"/>
                <w:sz w:val="28"/>
                <w:szCs w:val="28"/>
              </w:rPr>
              <w:t>拟出租出借</w:t>
            </w:r>
            <w:r>
              <w:rPr>
                <w:rFonts w:hint="eastAsia" w:ascii="黑体" w:hAnsi="黑体" w:eastAsia="黑体" w:cs="黑体"/>
                <w:spacing w:val="-5"/>
                <w:sz w:val="28"/>
                <w:szCs w:val="28"/>
              </w:rPr>
              <w:t>期限</w:t>
            </w:r>
          </w:p>
        </w:tc>
        <w:tc>
          <w:tcPr>
            <w:tcW w:w="1670" w:type="dxa"/>
            <w:vAlign w:val="center"/>
          </w:tcPr>
          <w:p w14:paraId="1AD5ED71">
            <w:pPr>
              <w:pStyle w:val="12"/>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hint="eastAsia" w:ascii="黑体" w:hAnsi="黑体" w:eastAsia="黑体" w:cs="黑体"/>
                <w:sz w:val="28"/>
                <w:szCs w:val="28"/>
              </w:rPr>
            </w:pPr>
            <w:r>
              <w:rPr>
                <w:rFonts w:hint="eastAsia" w:ascii="黑体" w:hAnsi="黑体" w:eastAsia="黑体" w:cs="黑体"/>
                <w:spacing w:val="-5"/>
                <w:sz w:val="28"/>
                <w:szCs w:val="28"/>
              </w:rPr>
              <w:t>备注</w:t>
            </w:r>
          </w:p>
        </w:tc>
      </w:tr>
      <w:tr w14:paraId="45581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610" w:type="dxa"/>
            <w:vAlign w:val="top"/>
          </w:tcPr>
          <w:p w14:paraId="53D15A5B">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051" w:type="dxa"/>
            <w:vAlign w:val="top"/>
          </w:tcPr>
          <w:p w14:paraId="1D465C3F">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348" w:type="dxa"/>
            <w:vAlign w:val="top"/>
          </w:tcPr>
          <w:p w14:paraId="7E850825">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082" w:type="dxa"/>
            <w:gridSpan w:val="2"/>
            <w:vAlign w:val="top"/>
          </w:tcPr>
          <w:p w14:paraId="1D72FFB6">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021" w:type="dxa"/>
            <w:vAlign w:val="top"/>
          </w:tcPr>
          <w:p w14:paraId="75B1DCC3">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026" w:type="dxa"/>
            <w:vAlign w:val="top"/>
          </w:tcPr>
          <w:p w14:paraId="2091511E">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644" w:type="dxa"/>
            <w:gridSpan w:val="2"/>
            <w:vAlign w:val="top"/>
          </w:tcPr>
          <w:p w14:paraId="6DEE9000">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973" w:type="dxa"/>
            <w:vAlign w:val="top"/>
          </w:tcPr>
          <w:p w14:paraId="54C2F01B">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165" w:type="dxa"/>
            <w:vAlign w:val="top"/>
          </w:tcPr>
          <w:p w14:paraId="6C0CB109">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975" w:type="dxa"/>
            <w:vAlign w:val="top"/>
          </w:tcPr>
          <w:p w14:paraId="370A832A">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609" w:type="dxa"/>
            <w:vAlign w:val="top"/>
          </w:tcPr>
          <w:p w14:paraId="3BE92F7D">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670" w:type="dxa"/>
            <w:vAlign w:val="top"/>
          </w:tcPr>
          <w:p w14:paraId="2565202B">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r>
      <w:tr w14:paraId="0AD0F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610" w:type="dxa"/>
            <w:vAlign w:val="top"/>
          </w:tcPr>
          <w:p w14:paraId="62A95F26">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051" w:type="dxa"/>
            <w:vAlign w:val="top"/>
          </w:tcPr>
          <w:p w14:paraId="275A6FD3">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348" w:type="dxa"/>
            <w:vAlign w:val="top"/>
          </w:tcPr>
          <w:p w14:paraId="774E496D">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082" w:type="dxa"/>
            <w:gridSpan w:val="2"/>
            <w:vAlign w:val="top"/>
          </w:tcPr>
          <w:p w14:paraId="02936635">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021" w:type="dxa"/>
            <w:vAlign w:val="top"/>
          </w:tcPr>
          <w:p w14:paraId="6ADE4FCB">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026" w:type="dxa"/>
            <w:vAlign w:val="top"/>
          </w:tcPr>
          <w:p w14:paraId="1EADD4D4">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644" w:type="dxa"/>
            <w:gridSpan w:val="2"/>
            <w:vAlign w:val="top"/>
          </w:tcPr>
          <w:p w14:paraId="66F23E90">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973" w:type="dxa"/>
            <w:vAlign w:val="top"/>
          </w:tcPr>
          <w:p w14:paraId="138DF678">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165" w:type="dxa"/>
            <w:vAlign w:val="top"/>
          </w:tcPr>
          <w:p w14:paraId="3ECDB164">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975" w:type="dxa"/>
            <w:vAlign w:val="top"/>
          </w:tcPr>
          <w:p w14:paraId="27C8DAE0">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609" w:type="dxa"/>
            <w:vAlign w:val="top"/>
          </w:tcPr>
          <w:p w14:paraId="2F39A9A8">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670" w:type="dxa"/>
            <w:vAlign w:val="top"/>
          </w:tcPr>
          <w:p w14:paraId="590189EB">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r>
      <w:tr w14:paraId="10ABC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1661" w:type="dxa"/>
            <w:gridSpan w:val="2"/>
            <w:vAlign w:val="top"/>
          </w:tcPr>
          <w:p w14:paraId="4565BE6D">
            <w:pPr>
              <w:pStyle w:val="12"/>
              <w:keepNext w:val="0"/>
              <w:keepLines w:val="0"/>
              <w:pageBreakBefore w:val="0"/>
              <w:widowControl w:val="0"/>
              <w:wordWrap/>
              <w:topLinePunct w:val="0"/>
              <w:autoSpaceDE w:val="0"/>
              <w:autoSpaceDN w:val="0"/>
              <w:bidi w:val="0"/>
              <w:adjustRightInd w:val="0"/>
              <w:snapToGrid w:val="0"/>
              <w:spacing w:line="600" w:lineRule="exact"/>
              <w:ind w:left="131"/>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合计</w:t>
            </w:r>
          </w:p>
        </w:tc>
        <w:tc>
          <w:tcPr>
            <w:tcW w:w="1348" w:type="dxa"/>
            <w:vAlign w:val="top"/>
          </w:tcPr>
          <w:p w14:paraId="7E3E2133">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082" w:type="dxa"/>
            <w:gridSpan w:val="2"/>
            <w:vAlign w:val="top"/>
          </w:tcPr>
          <w:p w14:paraId="3282458E">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021" w:type="dxa"/>
            <w:vAlign w:val="top"/>
          </w:tcPr>
          <w:p w14:paraId="5BA53A9B">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026" w:type="dxa"/>
            <w:vAlign w:val="top"/>
          </w:tcPr>
          <w:p w14:paraId="2701588C">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644" w:type="dxa"/>
            <w:gridSpan w:val="2"/>
            <w:vAlign w:val="top"/>
          </w:tcPr>
          <w:p w14:paraId="1FE6382E">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973" w:type="dxa"/>
            <w:vAlign w:val="top"/>
          </w:tcPr>
          <w:p w14:paraId="31852448">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165" w:type="dxa"/>
            <w:vAlign w:val="top"/>
          </w:tcPr>
          <w:p w14:paraId="26BCD38C">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975" w:type="dxa"/>
            <w:vAlign w:val="top"/>
          </w:tcPr>
          <w:p w14:paraId="0E87DA4C">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609" w:type="dxa"/>
            <w:vAlign w:val="top"/>
          </w:tcPr>
          <w:p w14:paraId="6A8AEC68">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670" w:type="dxa"/>
            <w:vAlign w:val="top"/>
          </w:tcPr>
          <w:p w14:paraId="4CAF9DB3">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r>
      <w:tr w14:paraId="24792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1" w:hRule="atLeast"/>
          <w:jc w:val="center"/>
        </w:trPr>
        <w:tc>
          <w:tcPr>
            <w:tcW w:w="3872" w:type="dxa"/>
            <w:gridSpan w:val="4"/>
            <w:vAlign w:val="top"/>
          </w:tcPr>
          <w:p w14:paraId="7A1AE5C4">
            <w:pPr>
              <w:pStyle w:val="12"/>
              <w:keepNext w:val="0"/>
              <w:keepLines w:val="0"/>
              <w:pageBreakBefore w:val="0"/>
              <w:widowControl w:val="0"/>
              <w:wordWrap/>
              <w:topLinePunct w:val="0"/>
              <w:autoSpaceDE w:val="0"/>
              <w:autoSpaceDN w:val="0"/>
              <w:bidi w:val="0"/>
              <w:adjustRightInd w:val="0"/>
              <w:snapToGrid w:val="0"/>
              <w:spacing w:line="600" w:lineRule="exact"/>
              <w:ind w:left="57"/>
              <w:jc w:val="center"/>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单位申报意见（签章）</w:t>
            </w:r>
          </w:p>
          <w:p w14:paraId="7294727E">
            <w:pPr>
              <w:pStyle w:val="12"/>
              <w:keepNext w:val="0"/>
              <w:keepLines w:val="0"/>
              <w:pageBreakBefore w:val="0"/>
              <w:widowControl w:val="0"/>
              <w:wordWrap/>
              <w:topLinePunct w:val="0"/>
              <w:autoSpaceDE w:val="0"/>
              <w:autoSpaceDN w:val="0"/>
              <w:bidi w:val="0"/>
              <w:adjustRightInd w:val="0"/>
              <w:snapToGrid w:val="0"/>
              <w:spacing w:line="600" w:lineRule="exact"/>
              <w:ind w:left="57"/>
              <w:jc w:val="center"/>
              <w:rPr>
                <w:rFonts w:hint="default" w:ascii="Times New Roman" w:hAnsi="Times New Roman" w:eastAsia="仿宋" w:cs="Times New Roman"/>
                <w:spacing w:val="-1"/>
                <w:sz w:val="28"/>
                <w:szCs w:val="28"/>
                <w:lang w:val="en-US" w:eastAsia="zh-CN"/>
              </w:rPr>
            </w:pPr>
          </w:p>
          <w:p w14:paraId="37340808">
            <w:pPr>
              <w:pStyle w:val="12"/>
              <w:keepNext w:val="0"/>
              <w:keepLines w:val="0"/>
              <w:pageBreakBefore w:val="0"/>
              <w:widowControl w:val="0"/>
              <w:wordWrap/>
              <w:topLinePunct w:val="0"/>
              <w:autoSpaceDE w:val="0"/>
              <w:autoSpaceDN w:val="0"/>
              <w:bidi w:val="0"/>
              <w:adjustRightInd w:val="0"/>
              <w:snapToGrid w:val="0"/>
              <w:spacing w:line="6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pacing w:val="-7"/>
                <w:sz w:val="28"/>
                <w:szCs w:val="28"/>
              </w:rPr>
              <w:t>年</w:t>
            </w:r>
            <w:r>
              <w:rPr>
                <w:rFonts w:hint="default" w:ascii="Times New Roman" w:hAnsi="Times New Roman" w:eastAsia="仿宋" w:cs="Times New Roman"/>
                <w:spacing w:val="3"/>
                <w:sz w:val="28"/>
                <w:szCs w:val="28"/>
              </w:rPr>
              <w:t xml:space="preserve">   </w:t>
            </w:r>
            <w:r>
              <w:rPr>
                <w:rFonts w:hint="default" w:ascii="Times New Roman" w:hAnsi="Times New Roman" w:eastAsia="仿宋" w:cs="Times New Roman"/>
                <w:spacing w:val="-7"/>
                <w:sz w:val="28"/>
                <w:szCs w:val="28"/>
              </w:rPr>
              <w:t>月</w:t>
            </w:r>
            <w:r>
              <w:rPr>
                <w:rFonts w:hint="default" w:ascii="Times New Roman" w:hAnsi="Times New Roman" w:eastAsia="仿宋" w:cs="Times New Roman"/>
                <w:spacing w:val="7"/>
                <w:sz w:val="28"/>
                <w:szCs w:val="28"/>
              </w:rPr>
              <w:t xml:space="preserve">   </w:t>
            </w:r>
            <w:r>
              <w:rPr>
                <w:rFonts w:hint="default" w:ascii="Times New Roman" w:hAnsi="Times New Roman" w:eastAsia="仿宋" w:cs="Times New Roman"/>
                <w:spacing w:val="-7"/>
                <w:sz w:val="28"/>
                <w:szCs w:val="28"/>
              </w:rPr>
              <w:t>日</w:t>
            </w:r>
          </w:p>
        </w:tc>
        <w:tc>
          <w:tcPr>
            <w:tcW w:w="3695" w:type="dxa"/>
            <w:gridSpan w:val="4"/>
            <w:vAlign w:val="center"/>
          </w:tcPr>
          <w:p w14:paraId="3294139E">
            <w:pPr>
              <w:pStyle w:val="12"/>
              <w:keepNext w:val="0"/>
              <w:keepLines w:val="0"/>
              <w:pageBreakBefore w:val="0"/>
              <w:widowControl w:val="0"/>
              <w:wordWrap/>
              <w:topLinePunct w:val="0"/>
              <w:autoSpaceDE w:val="0"/>
              <w:autoSpaceDN w:val="0"/>
              <w:bidi w:val="0"/>
              <w:adjustRightInd w:val="0"/>
              <w:snapToGrid w:val="0"/>
              <w:spacing w:line="600" w:lineRule="exact"/>
              <w:jc w:val="center"/>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主管部门审核意见（签章）</w:t>
            </w:r>
          </w:p>
          <w:p w14:paraId="26C97F43">
            <w:pPr>
              <w:pStyle w:val="12"/>
              <w:keepNext w:val="0"/>
              <w:keepLines w:val="0"/>
              <w:pageBreakBefore w:val="0"/>
              <w:widowControl w:val="0"/>
              <w:wordWrap/>
              <w:topLinePunct w:val="0"/>
              <w:autoSpaceDE w:val="0"/>
              <w:autoSpaceDN w:val="0"/>
              <w:bidi w:val="0"/>
              <w:adjustRightInd w:val="0"/>
              <w:snapToGrid w:val="0"/>
              <w:spacing w:line="600" w:lineRule="exact"/>
              <w:jc w:val="center"/>
              <w:rPr>
                <w:rFonts w:hint="default" w:ascii="Times New Roman" w:hAnsi="Times New Roman" w:eastAsia="仿宋" w:cs="Times New Roman"/>
                <w:spacing w:val="-1"/>
                <w:sz w:val="28"/>
                <w:szCs w:val="28"/>
              </w:rPr>
            </w:pPr>
          </w:p>
          <w:p w14:paraId="28A6F435">
            <w:pPr>
              <w:pStyle w:val="12"/>
              <w:keepNext w:val="0"/>
              <w:keepLines w:val="0"/>
              <w:pageBreakBefore w:val="0"/>
              <w:widowControl w:val="0"/>
              <w:wordWrap/>
              <w:topLinePunct w:val="0"/>
              <w:autoSpaceDE w:val="0"/>
              <w:autoSpaceDN w:val="0"/>
              <w:bidi w:val="0"/>
              <w:adjustRightInd w:val="0"/>
              <w:snapToGrid w:val="0"/>
              <w:spacing w:line="6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年    月    日</w:t>
            </w:r>
          </w:p>
        </w:tc>
        <w:tc>
          <w:tcPr>
            <w:tcW w:w="3328" w:type="dxa"/>
            <w:gridSpan w:val="4"/>
            <w:vAlign w:val="center"/>
          </w:tcPr>
          <w:p w14:paraId="79CD784B">
            <w:pPr>
              <w:pStyle w:val="12"/>
              <w:keepNext w:val="0"/>
              <w:keepLines w:val="0"/>
              <w:pageBreakBefore w:val="0"/>
              <w:widowControl w:val="0"/>
              <w:wordWrap/>
              <w:topLinePunct w:val="0"/>
              <w:autoSpaceDE w:val="0"/>
              <w:autoSpaceDN w:val="0"/>
              <w:bidi w:val="0"/>
              <w:adjustRightInd w:val="0"/>
              <w:snapToGrid w:val="0"/>
              <w:spacing w:line="600" w:lineRule="exact"/>
              <w:ind w:left="57"/>
              <w:jc w:val="center"/>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县机关事务</w:t>
            </w:r>
            <w:r>
              <w:rPr>
                <w:rFonts w:hint="default" w:ascii="Times New Roman" w:hAnsi="Times New Roman" w:eastAsia="仿宋" w:cs="Times New Roman"/>
                <w:spacing w:val="-1"/>
                <w:sz w:val="28"/>
                <w:szCs w:val="28"/>
                <w:lang w:val="en-US" w:eastAsia="zh-CN"/>
              </w:rPr>
              <w:t>服务</w:t>
            </w:r>
            <w:r>
              <w:rPr>
                <w:rFonts w:hint="default" w:ascii="Times New Roman" w:hAnsi="Times New Roman" w:eastAsia="仿宋" w:cs="Times New Roman"/>
                <w:spacing w:val="-1"/>
                <w:sz w:val="28"/>
                <w:szCs w:val="28"/>
              </w:rPr>
              <w:t>中心审核意见</w:t>
            </w:r>
            <w:r>
              <w:rPr>
                <w:rFonts w:hint="default" w:ascii="Times New Roman" w:hAnsi="Times New Roman" w:eastAsia="仿宋" w:cs="Times New Roman"/>
                <w:spacing w:val="-1"/>
                <w:sz w:val="28"/>
                <w:szCs w:val="28"/>
                <w:lang w:eastAsia="zh-CN"/>
              </w:rPr>
              <w:t>（</w:t>
            </w:r>
            <w:r>
              <w:rPr>
                <w:rFonts w:hint="default" w:ascii="Times New Roman" w:hAnsi="Times New Roman" w:eastAsia="仿宋" w:cs="Times New Roman"/>
                <w:spacing w:val="-1"/>
                <w:sz w:val="28"/>
                <w:szCs w:val="28"/>
              </w:rPr>
              <w:t>签章）</w:t>
            </w:r>
          </w:p>
          <w:p w14:paraId="5581E8B4">
            <w:pPr>
              <w:pStyle w:val="12"/>
              <w:keepNext w:val="0"/>
              <w:keepLines w:val="0"/>
              <w:pageBreakBefore w:val="0"/>
              <w:widowControl w:val="0"/>
              <w:wordWrap/>
              <w:topLinePunct w:val="0"/>
              <w:autoSpaceDE w:val="0"/>
              <w:autoSpaceDN w:val="0"/>
              <w:bidi w:val="0"/>
              <w:adjustRightInd w:val="0"/>
              <w:snapToGrid w:val="0"/>
              <w:spacing w:line="6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年    月    日</w:t>
            </w:r>
          </w:p>
        </w:tc>
        <w:tc>
          <w:tcPr>
            <w:tcW w:w="3279" w:type="dxa"/>
            <w:gridSpan w:val="2"/>
            <w:vAlign w:val="center"/>
          </w:tcPr>
          <w:p w14:paraId="49286D4A">
            <w:pPr>
              <w:pStyle w:val="12"/>
              <w:keepNext w:val="0"/>
              <w:keepLines w:val="0"/>
              <w:pageBreakBefore w:val="0"/>
              <w:widowControl w:val="0"/>
              <w:wordWrap/>
              <w:topLinePunct w:val="0"/>
              <w:autoSpaceDE w:val="0"/>
              <w:autoSpaceDN w:val="0"/>
              <w:bidi w:val="0"/>
              <w:adjustRightInd w:val="0"/>
              <w:snapToGrid w:val="0"/>
              <w:spacing w:line="600" w:lineRule="exact"/>
              <w:jc w:val="center"/>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财政部门意见（盖章）</w:t>
            </w:r>
          </w:p>
          <w:p w14:paraId="566F65A6">
            <w:pPr>
              <w:pStyle w:val="12"/>
              <w:keepNext w:val="0"/>
              <w:keepLines w:val="0"/>
              <w:pageBreakBefore w:val="0"/>
              <w:widowControl w:val="0"/>
              <w:wordWrap/>
              <w:topLinePunct w:val="0"/>
              <w:autoSpaceDE w:val="0"/>
              <w:autoSpaceDN w:val="0"/>
              <w:bidi w:val="0"/>
              <w:adjustRightInd w:val="0"/>
              <w:snapToGrid w:val="0"/>
              <w:spacing w:line="600" w:lineRule="exact"/>
              <w:jc w:val="center"/>
              <w:rPr>
                <w:rFonts w:hint="default" w:ascii="Times New Roman" w:hAnsi="Times New Roman" w:eastAsia="仿宋" w:cs="Times New Roman"/>
                <w:spacing w:val="-1"/>
                <w:sz w:val="28"/>
                <w:szCs w:val="28"/>
              </w:rPr>
            </w:pPr>
          </w:p>
          <w:p w14:paraId="4F1A2F53">
            <w:pPr>
              <w:pStyle w:val="12"/>
              <w:keepNext w:val="0"/>
              <w:keepLines w:val="0"/>
              <w:pageBreakBefore w:val="0"/>
              <w:widowControl w:val="0"/>
              <w:wordWrap/>
              <w:topLinePunct w:val="0"/>
              <w:autoSpaceDE w:val="0"/>
              <w:autoSpaceDN w:val="0"/>
              <w:bidi w:val="0"/>
              <w:adjustRightInd w:val="0"/>
              <w:snapToGrid w:val="0"/>
              <w:spacing w:line="6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年   月   日</w:t>
            </w:r>
          </w:p>
        </w:tc>
      </w:tr>
    </w:tbl>
    <w:p w14:paraId="3FCC66A5">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firstLine="560" w:firstLineChars="200"/>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8"/>
          <w:szCs w:val="28"/>
        </w:rPr>
        <w:t>说明：1．本表一式四份，申报单位、主管部门、县机关事务服</w:t>
      </w:r>
      <w:r>
        <w:rPr>
          <w:rFonts w:hint="default" w:ascii="Times New Roman" w:hAnsi="Times New Roman" w:eastAsia="仿宋" w:cs="Times New Roman"/>
          <w:spacing w:val="-1"/>
          <w:sz w:val="28"/>
          <w:szCs w:val="28"/>
        </w:rPr>
        <w:t>务中心、财政部门各一份；</w:t>
      </w:r>
      <w:r>
        <w:rPr>
          <w:rFonts w:hint="default" w:ascii="Times New Roman" w:hAnsi="Times New Roman" w:eastAsia="仿宋" w:cs="Times New Roman"/>
          <w:sz w:val="28"/>
          <w:szCs w:val="28"/>
        </w:rPr>
        <w:t>此表栏数不够，可自行增加栏数或另附表格</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3．有偿使用方式有出租、出借，按照实际情况填写</w:t>
      </w:r>
      <w:r>
        <w:rPr>
          <w:rFonts w:hint="default" w:ascii="Times New Roman" w:hAnsi="Times New Roman" w:eastAsia="仿宋" w:cs="Times New Roman"/>
          <w:sz w:val="28"/>
          <w:szCs w:val="28"/>
          <w:lang w:val="en-US" w:eastAsia="zh-CN"/>
        </w:rPr>
        <w:t>。</w:t>
      </w:r>
    </w:p>
    <w:p w14:paraId="6EB09C5A">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firstLine="0" w:firstLineChars="0"/>
        <w:textAlignment w:val="baseline"/>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附件 3</w:t>
      </w:r>
    </w:p>
    <w:p w14:paraId="0D5C114C">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jc w:val="center"/>
        <w:textAlignment w:val="baseline"/>
        <w:outlineLvl w:val="0"/>
        <w:rPr>
          <w:rFonts w:hint="default" w:ascii="方正小标宋简体" w:hAnsi="方正小标宋简体" w:eastAsia="方正小标宋简体" w:cs="方正小标宋简体"/>
          <w:b w:val="0"/>
          <w:bCs w:val="0"/>
          <w:spacing w:val="7"/>
          <w:sz w:val="44"/>
          <w:szCs w:val="44"/>
          <w:lang w:eastAsia="zh-CN"/>
        </w:rPr>
      </w:pPr>
      <w:r>
        <w:rPr>
          <w:rFonts w:hint="default" w:ascii="方正小标宋简体" w:hAnsi="方正小标宋简体" w:eastAsia="方正小标宋简体" w:cs="方正小标宋简体"/>
          <w:b w:val="0"/>
          <w:bCs w:val="0"/>
          <w:spacing w:val="7"/>
          <w:sz w:val="44"/>
          <w:szCs w:val="44"/>
          <w:lang w:eastAsia="zh-CN"/>
        </w:rPr>
        <w:t>宜阳县行政事业单位国有资产对外投资申请表</w:t>
      </w:r>
    </w:p>
    <w:p w14:paraId="257CD01A">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firstLine="0" w:firstLineChars="0"/>
        <w:jc w:val="both"/>
        <w:textAlignment w:val="baseline"/>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rPr>
        <w:t>填报单位：</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pacing w:val="-4"/>
          <w:sz w:val="28"/>
          <w:szCs w:val="28"/>
        </w:rPr>
        <w:t>申报日期：</w:t>
      </w:r>
      <w:r>
        <w:rPr>
          <w:rFonts w:hint="default" w:ascii="Times New Roman" w:hAnsi="Times New Roman" w:eastAsia="仿宋" w:cs="Times New Roman"/>
          <w:spacing w:val="9"/>
          <w:sz w:val="28"/>
          <w:szCs w:val="28"/>
        </w:rPr>
        <w:t xml:space="preserve">      </w:t>
      </w:r>
      <w:r>
        <w:rPr>
          <w:rFonts w:hint="default" w:ascii="Times New Roman" w:hAnsi="Times New Roman" w:eastAsia="仿宋" w:cs="Times New Roman"/>
          <w:spacing w:val="-4"/>
          <w:sz w:val="28"/>
          <w:szCs w:val="28"/>
        </w:rPr>
        <w:t xml:space="preserve">年 </w:t>
      </w:r>
      <w:r>
        <w:rPr>
          <w:rFonts w:hint="eastAsia" w:ascii="Times New Roman" w:hAnsi="Times New Roman" w:eastAsia="仿宋" w:cs="Times New Roman"/>
          <w:spacing w:val="-4"/>
          <w:sz w:val="28"/>
          <w:szCs w:val="28"/>
          <w:lang w:val="en-US" w:eastAsia="zh-CN"/>
        </w:rPr>
        <w:t xml:space="preserve"> </w:t>
      </w:r>
      <w:r>
        <w:rPr>
          <w:rFonts w:hint="default" w:ascii="Times New Roman" w:hAnsi="Times New Roman" w:eastAsia="仿宋" w:cs="Times New Roman"/>
          <w:spacing w:val="-4"/>
          <w:sz w:val="28"/>
          <w:szCs w:val="28"/>
        </w:rPr>
        <w:t xml:space="preserve">  月    </w:t>
      </w:r>
      <w:r>
        <w:rPr>
          <w:rFonts w:hint="default" w:ascii="Times New Roman" w:hAnsi="Times New Roman" w:eastAsia="仿宋" w:cs="Times New Roman"/>
          <w:spacing w:val="-4"/>
          <w:sz w:val="28"/>
          <w:szCs w:val="28"/>
          <w:lang w:val="en-US" w:eastAsia="zh-CN"/>
        </w:rPr>
        <w:t>日</w:t>
      </w:r>
      <w:r>
        <w:rPr>
          <w:rFonts w:hint="default" w:ascii="Times New Roman" w:hAnsi="Times New Roman" w:eastAsia="仿宋" w:cs="Times New Roman"/>
          <w:spacing w:val="1"/>
          <w:sz w:val="28"/>
          <w:szCs w:val="28"/>
        </w:rPr>
        <w:t xml:space="preserve">            </w:t>
      </w:r>
      <w:r>
        <w:rPr>
          <w:rFonts w:hint="eastAsia" w:ascii="Times New Roman" w:hAnsi="Times New Roman" w:eastAsia="仿宋" w:cs="Times New Roman"/>
          <w:spacing w:val="1"/>
          <w:sz w:val="28"/>
          <w:szCs w:val="28"/>
          <w:lang w:val="en-US" w:eastAsia="zh-CN"/>
        </w:rPr>
        <w:t xml:space="preserve">                        </w:t>
      </w:r>
      <w:r>
        <w:rPr>
          <w:rFonts w:hint="default" w:ascii="Times New Roman" w:hAnsi="Times New Roman" w:eastAsia="仿宋" w:cs="Times New Roman"/>
          <w:spacing w:val="1"/>
          <w:sz w:val="28"/>
          <w:szCs w:val="28"/>
        </w:rPr>
        <w:t xml:space="preserve">       </w:t>
      </w:r>
      <w:r>
        <w:rPr>
          <w:rFonts w:hint="eastAsia" w:ascii="Times New Roman" w:hAnsi="Times New Roman" w:eastAsia="仿宋" w:cs="Times New Roman"/>
          <w:spacing w:val="1"/>
          <w:sz w:val="28"/>
          <w:szCs w:val="28"/>
          <w:lang w:val="en-US" w:eastAsia="zh-CN"/>
        </w:rPr>
        <w:t xml:space="preserve">           </w:t>
      </w:r>
      <w:r>
        <w:rPr>
          <w:rFonts w:hint="default" w:ascii="Times New Roman" w:hAnsi="Times New Roman" w:eastAsia="仿宋" w:cs="Times New Roman"/>
          <w:spacing w:val="1"/>
          <w:sz w:val="28"/>
          <w:szCs w:val="28"/>
        </w:rPr>
        <w:t xml:space="preserve">   </w:t>
      </w:r>
      <w:r>
        <w:rPr>
          <w:rFonts w:hint="default" w:ascii="Times New Roman" w:hAnsi="Times New Roman" w:eastAsia="仿宋" w:cs="Times New Roman"/>
          <w:spacing w:val="-4"/>
          <w:sz w:val="28"/>
          <w:szCs w:val="28"/>
        </w:rPr>
        <w:t>金额单位</w:t>
      </w:r>
      <w:r>
        <w:rPr>
          <w:rFonts w:hint="default" w:ascii="Times New Roman" w:hAnsi="Times New Roman" w:eastAsia="仿宋" w:cs="Times New Roman"/>
          <w:spacing w:val="-5"/>
          <w:sz w:val="28"/>
          <w:szCs w:val="28"/>
        </w:rPr>
        <w:t>：元</w:t>
      </w:r>
    </w:p>
    <w:tbl>
      <w:tblPr>
        <w:tblStyle w:val="7"/>
        <w:tblW w:w="14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790"/>
        <w:gridCol w:w="760"/>
        <w:gridCol w:w="790"/>
        <w:gridCol w:w="846"/>
        <w:gridCol w:w="790"/>
        <w:gridCol w:w="583"/>
        <w:gridCol w:w="846"/>
        <w:gridCol w:w="790"/>
        <w:gridCol w:w="1022"/>
        <w:gridCol w:w="760"/>
        <w:gridCol w:w="794"/>
        <w:gridCol w:w="1139"/>
        <w:gridCol w:w="790"/>
        <w:gridCol w:w="790"/>
        <w:gridCol w:w="790"/>
        <w:gridCol w:w="1498"/>
      </w:tblGrid>
      <w:tr w14:paraId="63449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96" w:type="dxa"/>
            <w:vMerge w:val="restart"/>
            <w:tcBorders>
              <w:bottom w:val="nil"/>
            </w:tcBorders>
            <w:vAlign w:val="center"/>
          </w:tcPr>
          <w:p w14:paraId="40273ED5">
            <w:pPr>
              <w:pStyle w:val="12"/>
              <w:keepNext w:val="0"/>
              <w:keepLines w:val="0"/>
              <w:pageBreakBefore w:val="0"/>
              <w:widowControl w:val="0"/>
              <w:wordWrap/>
              <w:topLinePunct w:val="0"/>
              <w:autoSpaceDE w:val="0"/>
              <w:autoSpaceDN w:val="0"/>
              <w:bidi w:val="0"/>
              <w:adjustRightInd w:val="0"/>
              <w:snapToGrid w:val="0"/>
              <w:spacing w:line="600" w:lineRule="exact"/>
              <w:ind w:left="38"/>
              <w:jc w:val="center"/>
              <w:rPr>
                <w:rFonts w:hint="eastAsia" w:ascii="黑体" w:hAnsi="黑体" w:eastAsia="黑体" w:cs="黑体"/>
                <w:spacing w:val="-4"/>
                <w:sz w:val="28"/>
                <w:szCs w:val="28"/>
              </w:rPr>
            </w:pPr>
            <w:r>
              <w:rPr>
                <w:rFonts w:hint="eastAsia" w:ascii="黑体" w:hAnsi="黑体" w:eastAsia="黑体" w:cs="黑体"/>
                <w:spacing w:val="-4"/>
                <w:sz w:val="28"/>
                <w:szCs w:val="28"/>
              </w:rPr>
              <w:t>序号</w:t>
            </w:r>
          </w:p>
        </w:tc>
        <w:tc>
          <w:tcPr>
            <w:tcW w:w="790" w:type="dxa"/>
            <w:vMerge w:val="restart"/>
            <w:tcBorders>
              <w:bottom w:val="nil"/>
            </w:tcBorders>
            <w:vAlign w:val="center"/>
          </w:tcPr>
          <w:p w14:paraId="15E19810">
            <w:pPr>
              <w:pStyle w:val="12"/>
              <w:keepNext w:val="0"/>
              <w:keepLines w:val="0"/>
              <w:pageBreakBefore w:val="0"/>
              <w:widowControl w:val="0"/>
              <w:wordWrap/>
              <w:topLinePunct w:val="0"/>
              <w:autoSpaceDE w:val="0"/>
              <w:autoSpaceDN w:val="0"/>
              <w:bidi w:val="0"/>
              <w:adjustRightInd w:val="0"/>
              <w:snapToGrid w:val="0"/>
              <w:spacing w:line="600" w:lineRule="exact"/>
              <w:ind w:left="38"/>
              <w:jc w:val="center"/>
              <w:rPr>
                <w:rFonts w:hint="eastAsia" w:ascii="黑体" w:hAnsi="黑体" w:eastAsia="黑体" w:cs="黑体"/>
                <w:spacing w:val="-4"/>
                <w:sz w:val="28"/>
                <w:szCs w:val="28"/>
              </w:rPr>
            </w:pPr>
            <w:r>
              <w:rPr>
                <w:rFonts w:hint="eastAsia" w:ascii="黑体" w:hAnsi="黑体" w:eastAsia="黑体" w:cs="黑体"/>
                <w:spacing w:val="-4"/>
                <w:sz w:val="28"/>
                <w:szCs w:val="28"/>
              </w:rPr>
              <w:t>资产编号</w:t>
            </w:r>
          </w:p>
        </w:tc>
        <w:tc>
          <w:tcPr>
            <w:tcW w:w="760" w:type="dxa"/>
            <w:vMerge w:val="restart"/>
            <w:tcBorders>
              <w:bottom w:val="nil"/>
            </w:tcBorders>
            <w:vAlign w:val="center"/>
          </w:tcPr>
          <w:p w14:paraId="11F3F01E">
            <w:pPr>
              <w:pStyle w:val="12"/>
              <w:keepNext w:val="0"/>
              <w:keepLines w:val="0"/>
              <w:pageBreakBefore w:val="0"/>
              <w:widowControl w:val="0"/>
              <w:wordWrap/>
              <w:topLinePunct w:val="0"/>
              <w:autoSpaceDE w:val="0"/>
              <w:autoSpaceDN w:val="0"/>
              <w:bidi w:val="0"/>
              <w:adjustRightInd w:val="0"/>
              <w:snapToGrid w:val="0"/>
              <w:spacing w:line="600" w:lineRule="exact"/>
              <w:ind w:left="38"/>
              <w:jc w:val="center"/>
              <w:rPr>
                <w:rFonts w:hint="eastAsia" w:ascii="黑体" w:hAnsi="黑体" w:eastAsia="黑体" w:cs="黑体"/>
                <w:spacing w:val="-4"/>
                <w:sz w:val="28"/>
                <w:szCs w:val="28"/>
              </w:rPr>
            </w:pPr>
            <w:r>
              <w:rPr>
                <w:rFonts w:hint="eastAsia" w:ascii="黑体" w:hAnsi="黑体" w:eastAsia="黑体" w:cs="黑体"/>
                <w:spacing w:val="-4"/>
                <w:sz w:val="28"/>
                <w:szCs w:val="28"/>
              </w:rPr>
              <w:t>资产 名称</w:t>
            </w:r>
          </w:p>
        </w:tc>
        <w:tc>
          <w:tcPr>
            <w:tcW w:w="790" w:type="dxa"/>
            <w:vMerge w:val="restart"/>
            <w:tcBorders>
              <w:bottom w:val="nil"/>
            </w:tcBorders>
            <w:vAlign w:val="center"/>
          </w:tcPr>
          <w:p w14:paraId="2FD27E63">
            <w:pPr>
              <w:pStyle w:val="12"/>
              <w:keepNext w:val="0"/>
              <w:keepLines w:val="0"/>
              <w:pageBreakBefore w:val="0"/>
              <w:widowControl w:val="0"/>
              <w:wordWrap/>
              <w:topLinePunct w:val="0"/>
              <w:autoSpaceDE w:val="0"/>
              <w:autoSpaceDN w:val="0"/>
              <w:bidi w:val="0"/>
              <w:adjustRightInd w:val="0"/>
              <w:snapToGrid w:val="0"/>
              <w:spacing w:line="600" w:lineRule="exact"/>
              <w:ind w:left="38"/>
              <w:jc w:val="center"/>
              <w:rPr>
                <w:rFonts w:hint="eastAsia" w:ascii="黑体" w:hAnsi="黑体" w:eastAsia="黑体" w:cs="黑体"/>
                <w:spacing w:val="-4"/>
                <w:sz w:val="28"/>
                <w:szCs w:val="28"/>
              </w:rPr>
            </w:pPr>
            <w:r>
              <w:rPr>
                <w:rFonts w:hint="eastAsia" w:ascii="黑体" w:hAnsi="黑体" w:eastAsia="黑体" w:cs="黑体"/>
                <w:spacing w:val="-4"/>
                <w:sz w:val="28"/>
                <w:szCs w:val="28"/>
              </w:rPr>
              <w:t>资产 来源</w:t>
            </w:r>
          </w:p>
        </w:tc>
        <w:tc>
          <w:tcPr>
            <w:tcW w:w="846" w:type="dxa"/>
            <w:vMerge w:val="restart"/>
            <w:tcBorders>
              <w:bottom w:val="nil"/>
            </w:tcBorders>
            <w:vAlign w:val="center"/>
          </w:tcPr>
          <w:p w14:paraId="014F7004">
            <w:pPr>
              <w:pStyle w:val="12"/>
              <w:keepNext w:val="0"/>
              <w:keepLines w:val="0"/>
              <w:pageBreakBefore w:val="0"/>
              <w:widowControl w:val="0"/>
              <w:wordWrap/>
              <w:topLinePunct w:val="0"/>
              <w:autoSpaceDE w:val="0"/>
              <w:autoSpaceDN w:val="0"/>
              <w:bidi w:val="0"/>
              <w:adjustRightInd w:val="0"/>
              <w:snapToGrid w:val="0"/>
              <w:spacing w:line="600" w:lineRule="exact"/>
              <w:ind w:left="38"/>
              <w:jc w:val="center"/>
              <w:rPr>
                <w:rFonts w:hint="eastAsia" w:ascii="黑体" w:hAnsi="黑体" w:eastAsia="黑体" w:cs="黑体"/>
                <w:spacing w:val="-4"/>
                <w:sz w:val="28"/>
                <w:szCs w:val="28"/>
              </w:rPr>
            </w:pPr>
            <w:r>
              <w:rPr>
                <w:rFonts w:hint="eastAsia" w:ascii="黑体" w:hAnsi="黑体" w:eastAsia="黑体" w:cs="黑体"/>
                <w:spacing w:val="-4"/>
                <w:sz w:val="28"/>
                <w:szCs w:val="28"/>
              </w:rPr>
              <w:t>规格 型号</w:t>
            </w:r>
          </w:p>
        </w:tc>
        <w:tc>
          <w:tcPr>
            <w:tcW w:w="790" w:type="dxa"/>
            <w:vMerge w:val="restart"/>
            <w:tcBorders>
              <w:bottom w:val="nil"/>
            </w:tcBorders>
            <w:vAlign w:val="center"/>
          </w:tcPr>
          <w:p w14:paraId="024F3A92">
            <w:pPr>
              <w:pStyle w:val="12"/>
              <w:keepNext w:val="0"/>
              <w:keepLines w:val="0"/>
              <w:pageBreakBefore w:val="0"/>
              <w:widowControl w:val="0"/>
              <w:wordWrap/>
              <w:topLinePunct w:val="0"/>
              <w:autoSpaceDE w:val="0"/>
              <w:autoSpaceDN w:val="0"/>
              <w:bidi w:val="0"/>
              <w:adjustRightInd w:val="0"/>
              <w:snapToGrid w:val="0"/>
              <w:spacing w:line="600" w:lineRule="exact"/>
              <w:ind w:left="38"/>
              <w:jc w:val="center"/>
              <w:rPr>
                <w:rFonts w:hint="eastAsia" w:ascii="黑体" w:hAnsi="黑体" w:eastAsia="黑体" w:cs="黑体"/>
                <w:spacing w:val="-4"/>
                <w:sz w:val="28"/>
                <w:szCs w:val="28"/>
              </w:rPr>
            </w:pPr>
            <w:r>
              <w:rPr>
                <w:rFonts w:hint="eastAsia" w:ascii="黑体" w:hAnsi="黑体" w:eastAsia="黑体" w:cs="黑体"/>
                <w:spacing w:val="-4"/>
                <w:sz w:val="28"/>
                <w:szCs w:val="28"/>
              </w:rPr>
              <w:t>计量 单位</w:t>
            </w:r>
          </w:p>
        </w:tc>
        <w:tc>
          <w:tcPr>
            <w:tcW w:w="583" w:type="dxa"/>
            <w:vMerge w:val="restart"/>
            <w:tcBorders>
              <w:bottom w:val="nil"/>
            </w:tcBorders>
            <w:vAlign w:val="center"/>
          </w:tcPr>
          <w:p w14:paraId="49DF9CCC">
            <w:pPr>
              <w:pStyle w:val="12"/>
              <w:keepNext w:val="0"/>
              <w:keepLines w:val="0"/>
              <w:pageBreakBefore w:val="0"/>
              <w:widowControl w:val="0"/>
              <w:wordWrap/>
              <w:topLinePunct w:val="0"/>
              <w:autoSpaceDE w:val="0"/>
              <w:autoSpaceDN w:val="0"/>
              <w:bidi w:val="0"/>
              <w:adjustRightInd w:val="0"/>
              <w:snapToGrid w:val="0"/>
              <w:spacing w:line="600" w:lineRule="exact"/>
              <w:ind w:left="38"/>
              <w:jc w:val="center"/>
              <w:rPr>
                <w:rFonts w:hint="eastAsia" w:ascii="黑体" w:hAnsi="黑体" w:eastAsia="黑体" w:cs="黑体"/>
                <w:spacing w:val="-4"/>
                <w:sz w:val="28"/>
                <w:szCs w:val="28"/>
              </w:rPr>
            </w:pPr>
            <w:r>
              <w:rPr>
                <w:rFonts w:hint="eastAsia" w:ascii="黑体" w:hAnsi="黑体" w:eastAsia="黑体" w:cs="黑体"/>
                <w:spacing w:val="-4"/>
                <w:sz w:val="28"/>
                <w:szCs w:val="28"/>
              </w:rPr>
              <w:t>数量</w:t>
            </w:r>
          </w:p>
        </w:tc>
        <w:tc>
          <w:tcPr>
            <w:tcW w:w="846" w:type="dxa"/>
            <w:vMerge w:val="restart"/>
            <w:tcBorders>
              <w:bottom w:val="nil"/>
            </w:tcBorders>
            <w:vAlign w:val="center"/>
          </w:tcPr>
          <w:p w14:paraId="7B72D9FA">
            <w:pPr>
              <w:pStyle w:val="12"/>
              <w:keepNext w:val="0"/>
              <w:keepLines w:val="0"/>
              <w:pageBreakBefore w:val="0"/>
              <w:widowControl w:val="0"/>
              <w:wordWrap/>
              <w:topLinePunct w:val="0"/>
              <w:autoSpaceDE w:val="0"/>
              <w:autoSpaceDN w:val="0"/>
              <w:bidi w:val="0"/>
              <w:adjustRightInd w:val="0"/>
              <w:snapToGrid w:val="0"/>
              <w:spacing w:line="600" w:lineRule="exact"/>
              <w:ind w:left="38"/>
              <w:jc w:val="center"/>
              <w:rPr>
                <w:rFonts w:hint="eastAsia" w:ascii="黑体" w:hAnsi="黑体" w:eastAsia="黑体" w:cs="黑体"/>
                <w:spacing w:val="-4"/>
                <w:sz w:val="28"/>
                <w:szCs w:val="28"/>
              </w:rPr>
            </w:pPr>
            <w:r>
              <w:rPr>
                <w:rFonts w:hint="eastAsia" w:ascii="黑体" w:hAnsi="黑体" w:eastAsia="黑体" w:cs="黑体"/>
                <w:spacing w:val="-4"/>
                <w:sz w:val="28"/>
                <w:szCs w:val="28"/>
              </w:rPr>
              <w:t>购置 日期</w:t>
            </w:r>
          </w:p>
        </w:tc>
        <w:tc>
          <w:tcPr>
            <w:tcW w:w="3366" w:type="dxa"/>
            <w:gridSpan w:val="4"/>
            <w:vAlign w:val="center"/>
          </w:tcPr>
          <w:p w14:paraId="264DD5C5">
            <w:pPr>
              <w:pStyle w:val="12"/>
              <w:keepNext w:val="0"/>
              <w:keepLines w:val="0"/>
              <w:pageBreakBefore w:val="0"/>
              <w:widowControl w:val="0"/>
              <w:wordWrap/>
              <w:topLinePunct w:val="0"/>
              <w:autoSpaceDE w:val="0"/>
              <w:autoSpaceDN w:val="0"/>
              <w:bidi w:val="0"/>
              <w:adjustRightInd w:val="0"/>
              <w:snapToGrid w:val="0"/>
              <w:spacing w:line="600" w:lineRule="exact"/>
              <w:ind w:left="38"/>
              <w:jc w:val="center"/>
              <w:rPr>
                <w:rFonts w:hint="eastAsia" w:ascii="黑体" w:hAnsi="黑体" w:eastAsia="黑体" w:cs="黑体"/>
                <w:spacing w:val="-4"/>
                <w:sz w:val="28"/>
                <w:szCs w:val="28"/>
              </w:rPr>
            </w:pPr>
            <w:r>
              <w:rPr>
                <w:rFonts w:hint="eastAsia" w:ascii="黑体" w:hAnsi="黑体" w:eastAsia="黑体" w:cs="黑体"/>
                <w:spacing w:val="-4"/>
                <w:sz w:val="28"/>
                <w:szCs w:val="28"/>
              </w:rPr>
              <w:t>资产价值</w:t>
            </w:r>
          </w:p>
        </w:tc>
        <w:tc>
          <w:tcPr>
            <w:tcW w:w="1139" w:type="dxa"/>
            <w:vMerge w:val="restart"/>
            <w:tcBorders>
              <w:bottom w:val="nil"/>
            </w:tcBorders>
            <w:vAlign w:val="center"/>
          </w:tcPr>
          <w:p w14:paraId="6E090A13">
            <w:pPr>
              <w:pStyle w:val="12"/>
              <w:keepNext w:val="0"/>
              <w:keepLines w:val="0"/>
              <w:pageBreakBefore w:val="0"/>
              <w:widowControl w:val="0"/>
              <w:wordWrap/>
              <w:topLinePunct w:val="0"/>
              <w:autoSpaceDE w:val="0"/>
              <w:autoSpaceDN w:val="0"/>
              <w:bidi w:val="0"/>
              <w:adjustRightInd w:val="0"/>
              <w:snapToGrid w:val="0"/>
              <w:spacing w:line="60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被投资方 单位名称</w:t>
            </w:r>
          </w:p>
        </w:tc>
        <w:tc>
          <w:tcPr>
            <w:tcW w:w="1580" w:type="dxa"/>
            <w:gridSpan w:val="2"/>
            <w:vAlign w:val="center"/>
          </w:tcPr>
          <w:p w14:paraId="7ECBDC00">
            <w:pPr>
              <w:pStyle w:val="12"/>
              <w:keepNext w:val="0"/>
              <w:keepLines w:val="0"/>
              <w:pageBreakBefore w:val="0"/>
              <w:widowControl w:val="0"/>
              <w:wordWrap/>
              <w:topLinePunct w:val="0"/>
              <w:autoSpaceDE w:val="0"/>
              <w:autoSpaceDN w:val="0"/>
              <w:bidi w:val="0"/>
              <w:adjustRightInd w:val="0"/>
              <w:snapToGrid w:val="0"/>
              <w:spacing w:line="600" w:lineRule="exact"/>
              <w:ind w:left="38"/>
              <w:jc w:val="center"/>
              <w:rPr>
                <w:rFonts w:hint="eastAsia" w:ascii="黑体" w:hAnsi="黑体" w:eastAsia="黑体" w:cs="黑体"/>
                <w:spacing w:val="-4"/>
                <w:sz w:val="28"/>
                <w:szCs w:val="28"/>
              </w:rPr>
            </w:pPr>
            <w:r>
              <w:rPr>
                <w:rFonts w:hint="eastAsia" w:ascii="黑体" w:hAnsi="黑体" w:eastAsia="黑体" w:cs="黑体"/>
                <w:spacing w:val="-4"/>
                <w:sz w:val="28"/>
                <w:szCs w:val="28"/>
              </w:rPr>
              <w:t>预投资期限</w:t>
            </w:r>
          </w:p>
        </w:tc>
        <w:tc>
          <w:tcPr>
            <w:tcW w:w="790" w:type="dxa"/>
            <w:vMerge w:val="restart"/>
            <w:tcBorders>
              <w:bottom w:val="nil"/>
            </w:tcBorders>
            <w:vAlign w:val="center"/>
          </w:tcPr>
          <w:p w14:paraId="72EABE03">
            <w:pPr>
              <w:pStyle w:val="12"/>
              <w:keepNext w:val="0"/>
              <w:keepLines w:val="0"/>
              <w:pageBreakBefore w:val="0"/>
              <w:widowControl w:val="0"/>
              <w:wordWrap/>
              <w:topLinePunct w:val="0"/>
              <w:autoSpaceDE w:val="0"/>
              <w:autoSpaceDN w:val="0"/>
              <w:bidi w:val="0"/>
              <w:adjustRightInd w:val="0"/>
              <w:snapToGrid w:val="0"/>
              <w:spacing w:line="600" w:lineRule="exact"/>
              <w:ind w:left="38"/>
              <w:jc w:val="center"/>
              <w:rPr>
                <w:rFonts w:hint="eastAsia" w:ascii="黑体" w:hAnsi="黑体" w:eastAsia="黑体" w:cs="黑体"/>
                <w:spacing w:val="-4"/>
                <w:sz w:val="28"/>
                <w:szCs w:val="28"/>
              </w:rPr>
            </w:pPr>
            <w:r>
              <w:rPr>
                <w:rFonts w:hint="eastAsia" w:ascii="黑体" w:hAnsi="黑体" w:eastAsia="黑体" w:cs="黑体"/>
                <w:spacing w:val="-4"/>
                <w:sz w:val="28"/>
                <w:szCs w:val="28"/>
              </w:rPr>
              <w:t>预计 收益</w:t>
            </w:r>
          </w:p>
        </w:tc>
        <w:tc>
          <w:tcPr>
            <w:tcW w:w="1498" w:type="dxa"/>
            <w:vMerge w:val="restart"/>
            <w:tcBorders>
              <w:bottom w:val="nil"/>
            </w:tcBorders>
            <w:vAlign w:val="center"/>
          </w:tcPr>
          <w:p w14:paraId="2B565E4B">
            <w:pPr>
              <w:pStyle w:val="12"/>
              <w:keepNext w:val="0"/>
              <w:keepLines w:val="0"/>
              <w:pageBreakBefore w:val="0"/>
              <w:widowControl w:val="0"/>
              <w:wordWrap/>
              <w:topLinePunct w:val="0"/>
              <w:autoSpaceDE w:val="0"/>
              <w:autoSpaceDN w:val="0"/>
              <w:bidi w:val="0"/>
              <w:adjustRightInd w:val="0"/>
              <w:snapToGrid w:val="0"/>
              <w:spacing w:line="600" w:lineRule="exact"/>
              <w:ind w:left="38"/>
              <w:jc w:val="center"/>
              <w:rPr>
                <w:rFonts w:hint="eastAsia" w:ascii="黑体" w:hAnsi="黑体" w:eastAsia="黑体" w:cs="黑体"/>
                <w:spacing w:val="-4"/>
                <w:sz w:val="28"/>
                <w:szCs w:val="28"/>
              </w:rPr>
            </w:pPr>
            <w:r>
              <w:rPr>
                <w:rFonts w:hint="eastAsia" w:ascii="黑体" w:hAnsi="黑体" w:eastAsia="黑体" w:cs="黑体"/>
                <w:spacing w:val="-4"/>
                <w:sz w:val="28"/>
                <w:szCs w:val="28"/>
              </w:rPr>
              <w:t>备注</w:t>
            </w:r>
          </w:p>
        </w:tc>
      </w:tr>
      <w:tr w14:paraId="25A6F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96" w:type="dxa"/>
            <w:vMerge w:val="continue"/>
            <w:tcBorders>
              <w:top w:val="nil"/>
            </w:tcBorders>
            <w:vAlign w:val="top"/>
          </w:tcPr>
          <w:p w14:paraId="335AA090">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790" w:type="dxa"/>
            <w:vMerge w:val="continue"/>
            <w:tcBorders>
              <w:top w:val="nil"/>
            </w:tcBorders>
            <w:vAlign w:val="top"/>
          </w:tcPr>
          <w:p w14:paraId="6FA48B48">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760" w:type="dxa"/>
            <w:vMerge w:val="continue"/>
            <w:tcBorders>
              <w:top w:val="nil"/>
            </w:tcBorders>
            <w:vAlign w:val="top"/>
          </w:tcPr>
          <w:p w14:paraId="62749CB7">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790" w:type="dxa"/>
            <w:vMerge w:val="continue"/>
            <w:tcBorders>
              <w:top w:val="nil"/>
            </w:tcBorders>
            <w:vAlign w:val="top"/>
          </w:tcPr>
          <w:p w14:paraId="6B9235B0">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846" w:type="dxa"/>
            <w:vMerge w:val="continue"/>
            <w:tcBorders>
              <w:top w:val="nil"/>
            </w:tcBorders>
            <w:vAlign w:val="top"/>
          </w:tcPr>
          <w:p w14:paraId="413F31EA">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790" w:type="dxa"/>
            <w:vMerge w:val="continue"/>
            <w:tcBorders>
              <w:top w:val="nil"/>
            </w:tcBorders>
            <w:vAlign w:val="top"/>
          </w:tcPr>
          <w:p w14:paraId="1AE2B0D0">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583" w:type="dxa"/>
            <w:vMerge w:val="continue"/>
            <w:tcBorders>
              <w:top w:val="nil"/>
            </w:tcBorders>
            <w:vAlign w:val="top"/>
          </w:tcPr>
          <w:p w14:paraId="1EC81793">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846" w:type="dxa"/>
            <w:vMerge w:val="continue"/>
            <w:tcBorders>
              <w:top w:val="nil"/>
            </w:tcBorders>
            <w:vAlign w:val="top"/>
          </w:tcPr>
          <w:p w14:paraId="4A5B6981">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790" w:type="dxa"/>
            <w:vAlign w:val="center"/>
          </w:tcPr>
          <w:p w14:paraId="597FDE9E">
            <w:pPr>
              <w:pStyle w:val="12"/>
              <w:keepNext w:val="0"/>
              <w:keepLines w:val="0"/>
              <w:pageBreakBefore w:val="0"/>
              <w:widowControl w:val="0"/>
              <w:wordWrap/>
              <w:topLinePunct w:val="0"/>
              <w:autoSpaceDE w:val="0"/>
              <w:autoSpaceDN w:val="0"/>
              <w:bidi w:val="0"/>
              <w:adjustRightInd w:val="0"/>
              <w:snapToGrid w:val="0"/>
              <w:spacing w:line="600" w:lineRule="exact"/>
              <w:ind w:left="38"/>
              <w:jc w:val="center"/>
              <w:rPr>
                <w:rFonts w:hint="eastAsia" w:ascii="黑体" w:hAnsi="黑体" w:eastAsia="黑体" w:cs="黑体"/>
                <w:spacing w:val="-4"/>
                <w:sz w:val="28"/>
                <w:szCs w:val="28"/>
              </w:rPr>
            </w:pPr>
            <w:r>
              <w:rPr>
                <w:rFonts w:hint="eastAsia" w:ascii="黑体" w:hAnsi="黑体" w:eastAsia="黑体" w:cs="黑体"/>
                <w:spacing w:val="-4"/>
                <w:sz w:val="28"/>
                <w:szCs w:val="28"/>
              </w:rPr>
              <w:t>账面 原值</w:t>
            </w:r>
          </w:p>
        </w:tc>
        <w:tc>
          <w:tcPr>
            <w:tcW w:w="1022" w:type="dxa"/>
            <w:vAlign w:val="center"/>
          </w:tcPr>
          <w:p w14:paraId="45DDD582">
            <w:pPr>
              <w:pStyle w:val="12"/>
              <w:keepNext w:val="0"/>
              <w:keepLines w:val="0"/>
              <w:pageBreakBefore w:val="0"/>
              <w:widowControl w:val="0"/>
              <w:wordWrap/>
              <w:topLinePunct w:val="0"/>
              <w:autoSpaceDE w:val="0"/>
              <w:autoSpaceDN w:val="0"/>
              <w:bidi w:val="0"/>
              <w:adjustRightInd w:val="0"/>
              <w:snapToGrid w:val="0"/>
              <w:spacing w:line="600" w:lineRule="exact"/>
              <w:ind w:left="38"/>
              <w:jc w:val="center"/>
              <w:rPr>
                <w:rFonts w:hint="eastAsia" w:ascii="黑体" w:hAnsi="黑体" w:eastAsia="黑体" w:cs="黑体"/>
                <w:spacing w:val="-4"/>
                <w:sz w:val="28"/>
                <w:szCs w:val="28"/>
              </w:rPr>
            </w:pPr>
            <w:r>
              <w:rPr>
                <w:rFonts w:hint="eastAsia" w:ascii="黑体" w:hAnsi="黑体" w:eastAsia="黑体" w:cs="黑体"/>
                <w:spacing w:val="-4"/>
                <w:sz w:val="28"/>
                <w:szCs w:val="28"/>
              </w:rPr>
              <w:t>计提折</w:t>
            </w:r>
          </w:p>
          <w:p w14:paraId="3D3BB220">
            <w:pPr>
              <w:pStyle w:val="12"/>
              <w:keepNext w:val="0"/>
              <w:keepLines w:val="0"/>
              <w:pageBreakBefore w:val="0"/>
              <w:widowControl w:val="0"/>
              <w:wordWrap/>
              <w:topLinePunct w:val="0"/>
              <w:autoSpaceDE w:val="0"/>
              <w:autoSpaceDN w:val="0"/>
              <w:bidi w:val="0"/>
              <w:adjustRightInd w:val="0"/>
              <w:snapToGrid w:val="0"/>
              <w:spacing w:line="600" w:lineRule="exact"/>
              <w:ind w:left="38"/>
              <w:jc w:val="center"/>
              <w:rPr>
                <w:rFonts w:hint="eastAsia" w:ascii="黑体" w:hAnsi="黑体" w:eastAsia="黑体" w:cs="黑体"/>
                <w:spacing w:val="-4"/>
                <w:sz w:val="28"/>
                <w:szCs w:val="28"/>
              </w:rPr>
            </w:pPr>
            <w:r>
              <w:rPr>
                <w:rFonts w:hint="eastAsia" w:ascii="黑体" w:hAnsi="黑体" w:eastAsia="黑体" w:cs="黑体"/>
                <w:spacing w:val="-4"/>
                <w:sz w:val="28"/>
                <w:szCs w:val="28"/>
              </w:rPr>
              <w:t>旧值</w:t>
            </w:r>
          </w:p>
        </w:tc>
        <w:tc>
          <w:tcPr>
            <w:tcW w:w="760" w:type="dxa"/>
            <w:vAlign w:val="center"/>
          </w:tcPr>
          <w:p w14:paraId="4BD41C67">
            <w:pPr>
              <w:pStyle w:val="12"/>
              <w:keepNext w:val="0"/>
              <w:keepLines w:val="0"/>
              <w:pageBreakBefore w:val="0"/>
              <w:widowControl w:val="0"/>
              <w:wordWrap/>
              <w:topLinePunct w:val="0"/>
              <w:autoSpaceDE w:val="0"/>
              <w:autoSpaceDN w:val="0"/>
              <w:bidi w:val="0"/>
              <w:adjustRightInd w:val="0"/>
              <w:snapToGrid w:val="0"/>
              <w:spacing w:line="600" w:lineRule="exact"/>
              <w:ind w:left="38"/>
              <w:jc w:val="center"/>
              <w:rPr>
                <w:rFonts w:hint="eastAsia" w:ascii="黑体" w:hAnsi="黑体" w:eastAsia="黑体" w:cs="黑体"/>
                <w:spacing w:val="-4"/>
                <w:sz w:val="28"/>
                <w:szCs w:val="28"/>
              </w:rPr>
            </w:pPr>
            <w:r>
              <w:rPr>
                <w:rFonts w:hint="eastAsia" w:ascii="黑体" w:hAnsi="黑体" w:eastAsia="黑体" w:cs="黑体"/>
                <w:spacing w:val="-4"/>
                <w:sz w:val="28"/>
                <w:szCs w:val="28"/>
              </w:rPr>
              <w:t>账面 净值</w:t>
            </w:r>
          </w:p>
        </w:tc>
        <w:tc>
          <w:tcPr>
            <w:tcW w:w="794" w:type="dxa"/>
            <w:vAlign w:val="center"/>
          </w:tcPr>
          <w:p w14:paraId="2418B621">
            <w:pPr>
              <w:pStyle w:val="12"/>
              <w:keepNext w:val="0"/>
              <w:keepLines w:val="0"/>
              <w:pageBreakBefore w:val="0"/>
              <w:widowControl w:val="0"/>
              <w:wordWrap/>
              <w:topLinePunct w:val="0"/>
              <w:autoSpaceDE w:val="0"/>
              <w:autoSpaceDN w:val="0"/>
              <w:bidi w:val="0"/>
              <w:adjustRightInd w:val="0"/>
              <w:snapToGrid w:val="0"/>
              <w:spacing w:line="600" w:lineRule="exact"/>
              <w:ind w:left="38"/>
              <w:jc w:val="center"/>
              <w:rPr>
                <w:rFonts w:hint="eastAsia" w:ascii="黑体" w:hAnsi="黑体" w:eastAsia="黑体" w:cs="黑体"/>
                <w:spacing w:val="-4"/>
                <w:sz w:val="28"/>
                <w:szCs w:val="28"/>
              </w:rPr>
            </w:pPr>
            <w:r>
              <w:rPr>
                <w:rFonts w:hint="eastAsia" w:ascii="黑体" w:hAnsi="黑体" w:eastAsia="黑体" w:cs="黑体"/>
                <w:spacing w:val="-4"/>
                <w:sz w:val="28"/>
                <w:szCs w:val="28"/>
              </w:rPr>
              <w:t>评估价值</w:t>
            </w:r>
          </w:p>
        </w:tc>
        <w:tc>
          <w:tcPr>
            <w:tcW w:w="1139" w:type="dxa"/>
            <w:vMerge w:val="continue"/>
            <w:tcBorders>
              <w:top w:val="nil"/>
            </w:tcBorders>
            <w:vAlign w:val="top"/>
          </w:tcPr>
          <w:p w14:paraId="550D99E2">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790" w:type="dxa"/>
            <w:vAlign w:val="top"/>
          </w:tcPr>
          <w:p w14:paraId="12BD5737">
            <w:pPr>
              <w:pStyle w:val="12"/>
              <w:keepNext w:val="0"/>
              <w:keepLines w:val="0"/>
              <w:pageBreakBefore w:val="0"/>
              <w:widowControl w:val="0"/>
              <w:wordWrap/>
              <w:topLinePunct w:val="0"/>
              <w:autoSpaceDE w:val="0"/>
              <w:autoSpaceDN w:val="0"/>
              <w:bidi w:val="0"/>
              <w:adjustRightInd w:val="0"/>
              <w:snapToGrid w:val="0"/>
              <w:spacing w:line="600" w:lineRule="exact"/>
              <w:ind w:left="38"/>
              <w:rPr>
                <w:rFonts w:hint="eastAsia" w:ascii="黑体" w:hAnsi="黑体" w:eastAsia="黑体" w:cs="黑体"/>
                <w:spacing w:val="-4"/>
                <w:sz w:val="28"/>
                <w:szCs w:val="28"/>
              </w:rPr>
            </w:pPr>
            <w:r>
              <w:rPr>
                <w:rFonts w:hint="eastAsia" w:ascii="黑体" w:hAnsi="黑体" w:eastAsia="黑体" w:cs="黑体"/>
                <w:spacing w:val="-4"/>
                <w:sz w:val="28"/>
                <w:szCs w:val="28"/>
              </w:rPr>
              <w:t>开始 日期</w:t>
            </w:r>
          </w:p>
        </w:tc>
        <w:tc>
          <w:tcPr>
            <w:tcW w:w="790" w:type="dxa"/>
            <w:vAlign w:val="top"/>
          </w:tcPr>
          <w:p w14:paraId="522AA40A">
            <w:pPr>
              <w:pStyle w:val="12"/>
              <w:keepNext w:val="0"/>
              <w:keepLines w:val="0"/>
              <w:pageBreakBefore w:val="0"/>
              <w:widowControl w:val="0"/>
              <w:wordWrap/>
              <w:topLinePunct w:val="0"/>
              <w:autoSpaceDE w:val="0"/>
              <w:autoSpaceDN w:val="0"/>
              <w:bidi w:val="0"/>
              <w:adjustRightInd w:val="0"/>
              <w:snapToGrid w:val="0"/>
              <w:spacing w:line="600" w:lineRule="exact"/>
              <w:ind w:left="38"/>
              <w:rPr>
                <w:rFonts w:hint="eastAsia" w:ascii="黑体" w:hAnsi="黑体" w:eastAsia="黑体" w:cs="黑体"/>
                <w:spacing w:val="-4"/>
                <w:sz w:val="28"/>
                <w:szCs w:val="28"/>
              </w:rPr>
            </w:pPr>
            <w:r>
              <w:rPr>
                <w:rFonts w:hint="eastAsia" w:ascii="黑体" w:hAnsi="黑体" w:eastAsia="黑体" w:cs="黑体"/>
                <w:spacing w:val="-4"/>
                <w:sz w:val="28"/>
                <w:szCs w:val="28"/>
              </w:rPr>
              <w:t>结束 日期</w:t>
            </w:r>
          </w:p>
        </w:tc>
        <w:tc>
          <w:tcPr>
            <w:tcW w:w="790" w:type="dxa"/>
            <w:vMerge w:val="continue"/>
            <w:tcBorders>
              <w:top w:val="nil"/>
            </w:tcBorders>
            <w:vAlign w:val="top"/>
          </w:tcPr>
          <w:p w14:paraId="46BFC97B">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1498" w:type="dxa"/>
            <w:vMerge w:val="continue"/>
            <w:tcBorders>
              <w:top w:val="nil"/>
            </w:tcBorders>
            <w:vAlign w:val="top"/>
          </w:tcPr>
          <w:p w14:paraId="42AAD15A">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r>
      <w:tr w14:paraId="02B6E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96" w:type="dxa"/>
            <w:vAlign w:val="top"/>
          </w:tcPr>
          <w:p w14:paraId="5F86CEA2">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790" w:type="dxa"/>
            <w:vAlign w:val="top"/>
          </w:tcPr>
          <w:p w14:paraId="7C2EA034">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760" w:type="dxa"/>
            <w:vAlign w:val="top"/>
          </w:tcPr>
          <w:p w14:paraId="2DAC82A5">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790" w:type="dxa"/>
            <w:vAlign w:val="top"/>
          </w:tcPr>
          <w:p w14:paraId="098134AA">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846" w:type="dxa"/>
            <w:vAlign w:val="top"/>
          </w:tcPr>
          <w:p w14:paraId="082B2E71">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790" w:type="dxa"/>
            <w:vAlign w:val="top"/>
          </w:tcPr>
          <w:p w14:paraId="202E6412">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583" w:type="dxa"/>
            <w:vAlign w:val="top"/>
          </w:tcPr>
          <w:p w14:paraId="49F811BF">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846" w:type="dxa"/>
            <w:vAlign w:val="top"/>
          </w:tcPr>
          <w:p w14:paraId="78288615">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790" w:type="dxa"/>
            <w:vAlign w:val="top"/>
          </w:tcPr>
          <w:p w14:paraId="4CE8628F">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1022" w:type="dxa"/>
            <w:vAlign w:val="top"/>
          </w:tcPr>
          <w:p w14:paraId="17940898">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760" w:type="dxa"/>
            <w:vAlign w:val="top"/>
          </w:tcPr>
          <w:p w14:paraId="3FFF6833">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794" w:type="dxa"/>
            <w:vAlign w:val="top"/>
          </w:tcPr>
          <w:p w14:paraId="3ED4A930">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1139" w:type="dxa"/>
            <w:vAlign w:val="top"/>
          </w:tcPr>
          <w:p w14:paraId="55D379FF">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790" w:type="dxa"/>
            <w:vAlign w:val="top"/>
          </w:tcPr>
          <w:p w14:paraId="14780ED7">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790" w:type="dxa"/>
            <w:vAlign w:val="top"/>
          </w:tcPr>
          <w:p w14:paraId="7EA36C52">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790" w:type="dxa"/>
            <w:vAlign w:val="top"/>
          </w:tcPr>
          <w:p w14:paraId="0EA2B978">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c>
          <w:tcPr>
            <w:tcW w:w="1498" w:type="dxa"/>
            <w:vAlign w:val="top"/>
          </w:tcPr>
          <w:p w14:paraId="743E3508">
            <w:pPr>
              <w:keepNext w:val="0"/>
              <w:keepLines w:val="0"/>
              <w:pageBreakBefore w:val="0"/>
              <w:widowControl w:val="0"/>
              <w:wordWrap/>
              <w:topLinePunct w:val="0"/>
              <w:autoSpaceDE w:val="0"/>
              <w:autoSpaceDN w:val="0"/>
              <w:bidi w:val="0"/>
              <w:adjustRightInd w:val="0"/>
              <w:snapToGrid w:val="0"/>
              <w:spacing w:line="600" w:lineRule="exact"/>
              <w:rPr>
                <w:rFonts w:hint="eastAsia" w:ascii="黑体" w:hAnsi="黑体" w:eastAsia="黑体" w:cs="黑体"/>
                <w:sz w:val="28"/>
                <w:szCs w:val="28"/>
              </w:rPr>
            </w:pPr>
          </w:p>
        </w:tc>
      </w:tr>
      <w:tr w14:paraId="42CFF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96" w:type="dxa"/>
            <w:vAlign w:val="top"/>
          </w:tcPr>
          <w:p w14:paraId="7C14A77C">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790" w:type="dxa"/>
            <w:vAlign w:val="top"/>
          </w:tcPr>
          <w:p w14:paraId="7681C07F">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760" w:type="dxa"/>
            <w:vAlign w:val="top"/>
          </w:tcPr>
          <w:p w14:paraId="1B6CF2AD">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790" w:type="dxa"/>
            <w:vAlign w:val="top"/>
          </w:tcPr>
          <w:p w14:paraId="6C2CD484">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846" w:type="dxa"/>
            <w:vAlign w:val="top"/>
          </w:tcPr>
          <w:p w14:paraId="34EA629A">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790" w:type="dxa"/>
            <w:vAlign w:val="top"/>
          </w:tcPr>
          <w:p w14:paraId="5DE66BFD">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583" w:type="dxa"/>
            <w:vAlign w:val="top"/>
          </w:tcPr>
          <w:p w14:paraId="25B4CDB2">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846" w:type="dxa"/>
            <w:vAlign w:val="top"/>
          </w:tcPr>
          <w:p w14:paraId="41380B54">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790" w:type="dxa"/>
            <w:vAlign w:val="top"/>
          </w:tcPr>
          <w:p w14:paraId="40B4A33D">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022" w:type="dxa"/>
            <w:vAlign w:val="top"/>
          </w:tcPr>
          <w:p w14:paraId="018AA4E3">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760" w:type="dxa"/>
            <w:vAlign w:val="top"/>
          </w:tcPr>
          <w:p w14:paraId="54183543">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794" w:type="dxa"/>
            <w:vAlign w:val="top"/>
          </w:tcPr>
          <w:p w14:paraId="48F6D6FF">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139" w:type="dxa"/>
            <w:vAlign w:val="top"/>
          </w:tcPr>
          <w:p w14:paraId="47C1974D">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790" w:type="dxa"/>
            <w:vAlign w:val="top"/>
          </w:tcPr>
          <w:p w14:paraId="1A14A0D8">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790" w:type="dxa"/>
            <w:vAlign w:val="top"/>
          </w:tcPr>
          <w:p w14:paraId="4DAFC5BC">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790" w:type="dxa"/>
            <w:vAlign w:val="top"/>
          </w:tcPr>
          <w:p w14:paraId="4B2C8427">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498" w:type="dxa"/>
            <w:vAlign w:val="top"/>
          </w:tcPr>
          <w:p w14:paraId="59813F19">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r>
      <w:tr w14:paraId="0F89B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586" w:type="dxa"/>
            <w:gridSpan w:val="2"/>
            <w:vAlign w:val="top"/>
          </w:tcPr>
          <w:p w14:paraId="74288BDE">
            <w:pPr>
              <w:pStyle w:val="12"/>
              <w:keepNext w:val="0"/>
              <w:keepLines w:val="0"/>
              <w:pageBreakBefore w:val="0"/>
              <w:widowControl w:val="0"/>
              <w:wordWrap/>
              <w:topLinePunct w:val="0"/>
              <w:autoSpaceDE w:val="0"/>
              <w:autoSpaceDN w:val="0"/>
              <w:bidi w:val="0"/>
              <w:adjustRightInd w:val="0"/>
              <w:snapToGrid w:val="0"/>
              <w:spacing w:line="600" w:lineRule="exact"/>
              <w:ind w:left="377"/>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rPr>
              <w:t>合计</w:t>
            </w:r>
          </w:p>
        </w:tc>
        <w:tc>
          <w:tcPr>
            <w:tcW w:w="760" w:type="dxa"/>
            <w:vAlign w:val="top"/>
          </w:tcPr>
          <w:p w14:paraId="1D96AD07">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790" w:type="dxa"/>
            <w:vAlign w:val="top"/>
          </w:tcPr>
          <w:p w14:paraId="34B26697">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846" w:type="dxa"/>
            <w:vAlign w:val="top"/>
          </w:tcPr>
          <w:p w14:paraId="0F5B4854">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790" w:type="dxa"/>
            <w:vAlign w:val="top"/>
          </w:tcPr>
          <w:p w14:paraId="0101C5C2">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583" w:type="dxa"/>
            <w:vAlign w:val="top"/>
          </w:tcPr>
          <w:p w14:paraId="21174584">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846" w:type="dxa"/>
            <w:vAlign w:val="top"/>
          </w:tcPr>
          <w:p w14:paraId="67322DC8">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790" w:type="dxa"/>
            <w:vAlign w:val="top"/>
          </w:tcPr>
          <w:p w14:paraId="11232852">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022" w:type="dxa"/>
            <w:vAlign w:val="top"/>
          </w:tcPr>
          <w:p w14:paraId="22EAC6FE">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760" w:type="dxa"/>
            <w:vAlign w:val="top"/>
          </w:tcPr>
          <w:p w14:paraId="7D3103A4">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794" w:type="dxa"/>
            <w:vAlign w:val="top"/>
          </w:tcPr>
          <w:p w14:paraId="7F89A1A0">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139" w:type="dxa"/>
            <w:vAlign w:val="top"/>
          </w:tcPr>
          <w:p w14:paraId="21A378AE">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790" w:type="dxa"/>
            <w:vAlign w:val="top"/>
          </w:tcPr>
          <w:p w14:paraId="25F82FDA">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790" w:type="dxa"/>
            <w:vAlign w:val="top"/>
          </w:tcPr>
          <w:p w14:paraId="333840E6">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790" w:type="dxa"/>
            <w:vAlign w:val="top"/>
          </w:tcPr>
          <w:p w14:paraId="644EF967">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c>
          <w:tcPr>
            <w:tcW w:w="1498" w:type="dxa"/>
            <w:vAlign w:val="top"/>
          </w:tcPr>
          <w:p w14:paraId="1FAFBF1B">
            <w:pPr>
              <w:keepNext w:val="0"/>
              <w:keepLines w:val="0"/>
              <w:pageBreakBefore w:val="0"/>
              <w:widowControl w:val="0"/>
              <w:wordWrap/>
              <w:topLinePunct w:val="0"/>
              <w:autoSpaceDE w:val="0"/>
              <w:autoSpaceDN w:val="0"/>
              <w:bidi w:val="0"/>
              <w:adjustRightInd w:val="0"/>
              <w:snapToGrid w:val="0"/>
              <w:spacing w:line="600" w:lineRule="exact"/>
              <w:rPr>
                <w:rFonts w:hint="default" w:ascii="Times New Roman" w:hAnsi="Times New Roman" w:eastAsia="仿宋" w:cs="Times New Roman"/>
                <w:sz w:val="28"/>
                <w:szCs w:val="28"/>
              </w:rPr>
            </w:pPr>
          </w:p>
        </w:tc>
      </w:tr>
      <w:tr w14:paraId="664AB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4772" w:type="dxa"/>
            <w:gridSpan w:val="6"/>
            <w:vAlign w:val="top"/>
          </w:tcPr>
          <w:p w14:paraId="5D85A076">
            <w:pPr>
              <w:pStyle w:val="12"/>
              <w:keepNext w:val="0"/>
              <w:keepLines w:val="0"/>
              <w:pageBreakBefore w:val="0"/>
              <w:widowControl w:val="0"/>
              <w:wordWrap/>
              <w:topLinePunct w:val="0"/>
              <w:autoSpaceDE w:val="0"/>
              <w:autoSpaceDN w:val="0"/>
              <w:bidi w:val="0"/>
              <w:adjustRightInd w:val="0"/>
              <w:snapToGrid w:val="0"/>
              <w:spacing w:line="600" w:lineRule="exact"/>
              <w:ind w:left="57"/>
              <w:jc w:val="center"/>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单位申报意见（签章）</w:t>
            </w:r>
          </w:p>
          <w:p w14:paraId="035C704B">
            <w:pPr>
              <w:pStyle w:val="12"/>
              <w:keepNext w:val="0"/>
              <w:keepLines w:val="0"/>
              <w:pageBreakBefore w:val="0"/>
              <w:widowControl w:val="0"/>
              <w:wordWrap/>
              <w:topLinePunct w:val="0"/>
              <w:autoSpaceDE w:val="0"/>
              <w:autoSpaceDN w:val="0"/>
              <w:bidi w:val="0"/>
              <w:adjustRightInd w:val="0"/>
              <w:snapToGrid w:val="0"/>
              <w:spacing w:line="600" w:lineRule="exact"/>
              <w:jc w:val="right"/>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 xml:space="preserve">年  </w:t>
            </w:r>
            <w:r>
              <w:rPr>
                <w:rFonts w:hint="default" w:ascii="Times New Roman" w:hAnsi="Times New Roman" w:eastAsia="仿宋" w:cs="Times New Roman"/>
                <w:spacing w:val="-1"/>
                <w:sz w:val="28"/>
                <w:szCs w:val="28"/>
                <w:lang w:val="en-US" w:eastAsia="zh-CN"/>
              </w:rPr>
              <w:t xml:space="preserve"> </w:t>
            </w:r>
            <w:r>
              <w:rPr>
                <w:rFonts w:hint="default" w:ascii="Times New Roman" w:hAnsi="Times New Roman" w:eastAsia="仿宋" w:cs="Times New Roman"/>
                <w:spacing w:val="-1"/>
                <w:sz w:val="28"/>
                <w:szCs w:val="28"/>
              </w:rPr>
              <w:t xml:space="preserve"> 月   </w:t>
            </w:r>
            <w:r>
              <w:rPr>
                <w:rFonts w:hint="default" w:ascii="Times New Roman" w:hAnsi="Times New Roman" w:eastAsia="仿宋" w:cs="Times New Roman"/>
                <w:spacing w:val="-1"/>
                <w:sz w:val="28"/>
                <w:szCs w:val="28"/>
                <w:lang w:val="en-US" w:eastAsia="zh-CN"/>
              </w:rPr>
              <w:t xml:space="preserve"> </w:t>
            </w:r>
            <w:r>
              <w:rPr>
                <w:rFonts w:hint="default" w:ascii="Times New Roman" w:hAnsi="Times New Roman" w:eastAsia="仿宋" w:cs="Times New Roman"/>
                <w:spacing w:val="-1"/>
                <w:sz w:val="28"/>
                <w:szCs w:val="28"/>
              </w:rPr>
              <w:t>日</w:t>
            </w:r>
          </w:p>
        </w:tc>
        <w:tc>
          <w:tcPr>
            <w:tcW w:w="5934" w:type="dxa"/>
            <w:gridSpan w:val="7"/>
            <w:vAlign w:val="top"/>
          </w:tcPr>
          <w:p w14:paraId="754C0F08">
            <w:pPr>
              <w:pStyle w:val="12"/>
              <w:keepNext w:val="0"/>
              <w:keepLines w:val="0"/>
              <w:pageBreakBefore w:val="0"/>
              <w:widowControl w:val="0"/>
              <w:wordWrap/>
              <w:topLinePunct w:val="0"/>
              <w:autoSpaceDE w:val="0"/>
              <w:autoSpaceDN w:val="0"/>
              <w:bidi w:val="0"/>
              <w:adjustRightInd w:val="0"/>
              <w:snapToGrid w:val="0"/>
              <w:spacing w:line="600" w:lineRule="exact"/>
              <w:ind w:left="57"/>
              <w:jc w:val="center"/>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主管部门审核意见（签章）</w:t>
            </w:r>
          </w:p>
          <w:p w14:paraId="2B749AEE">
            <w:pPr>
              <w:pStyle w:val="12"/>
              <w:keepNext w:val="0"/>
              <w:keepLines w:val="0"/>
              <w:pageBreakBefore w:val="0"/>
              <w:widowControl w:val="0"/>
              <w:wordWrap/>
              <w:topLinePunct w:val="0"/>
              <w:autoSpaceDE w:val="0"/>
              <w:autoSpaceDN w:val="0"/>
              <w:bidi w:val="0"/>
              <w:adjustRightInd w:val="0"/>
              <w:snapToGrid w:val="0"/>
              <w:spacing w:line="600" w:lineRule="exact"/>
              <w:jc w:val="right"/>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 xml:space="preserve">年  </w:t>
            </w:r>
            <w:r>
              <w:rPr>
                <w:rFonts w:hint="default" w:ascii="Times New Roman" w:hAnsi="Times New Roman" w:eastAsia="仿宋" w:cs="Times New Roman"/>
                <w:spacing w:val="-1"/>
                <w:sz w:val="28"/>
                <w:szCs w:val="28"/>
                <w:lang w:val="en-US" w:eastAsia="zh-CN"/>
              </w:rPr>
              <w:t xml:space="preserve"> </w:t>
            </w:r>
            <w:r>
              <w:rPr>
                <w:rFonts w:hint="default" w:ascii="Times New Roman" w:hAnsi="Times New Roman" w:eastAsia="仿宋" w:cs="Times New Roman"/>
                <w:spacing w:val="-1"/>
                <w:sz w:val="28"/>
                <w:szCs w:val="28"/>
              </w:rPr>
              <w:t xml:space="preserve"> </w:t>
            </w:r>
            <w:r>
              <w:rPr>
                <w:rFonts w:hint="default" w:ascii="Times New Roman" w:hAnsi="Times New Roman" w:eastAsia="仿宋" w:cs="Times New Roman"/>
                <w:spacing w:val="-1"/>
                <w:sz w:val="28"/>
                <w:szCs w:val="28"/>
                <w:lang w:val="en-US" w:eastAsia="zh-CN"/>
              </w:rPr>
              <w:t xml:space="preserve"> </w:t>
            </w:r>
            <w:r>
              <w:rPr>
                <w:rFonts w:hint="default" w:ascii="Times New Roman" w:hAnsi="Times New Roman" w:eastAsia="仿宋" w:cs="Times New Roman"/>
                <w:spacing w:val="-1"/>
                <w:sz w:val="28"/>
                <w:szCs w:val="28"/>
              </w:rPr>
              <w:t xml:space="preserve">月  </w:t>
            </w:r>
            <w:r>
              <w:rPr>
                <w:rFonts w:hint="default" w:ascii="Times New Roman" w:hAnsi="Times New Roman" w:eastAsia="仿宋" w:cs="Times New Roman"/>
                <w:spacing w:val="-1"/>
                <w:sz w:val="28"/>
                <w:szCs w:val="28"/>
                <w:lang w:val="en-US" w:eastAsia="zh-CN"/>
              </w:rPr>
              <w:t xml:space="preserve">  </w:t>
            </w:r>
            <w:r>
              <w:rPr>
                <w:rFonts w:hint="default" w:ascii="Times New Roman" w:hAnsi="Times New Roman" w:eastAsia="仿宋" w:cs="Times New Roman"/>
                <w:spacing w:val="-1"/>
                <w:sz w:val="28"/>
                <w:szCs w:val="28"/>
              </w:rPr>
              <w:t xml:space="preserve"> 日</w:t>
            </w:r>
          </w:p>
        </w:tc>
        <w:tc>
          <w:tcPr>
            <w:tcW w:w="3868" w:type="dxa"/>
            <w:gridSpan w:val="4"/>
            <w:vAlign w:val="top"/>
          </w:tcPr>
          <w:p w14:paraId="5A79D8D2">
            <w:pPr>
              <w:pStyle w:val="12"/>
              <w:keepNext w:val="0"/>
              <w:keepLines w:val="0"/>
              <w:pageBreakBefore w:val="0"/>
              <w:widowControl w:val="0"/>
              <w:wordWrap/>
              <w:topLinePunct w:val="0"/>
              <w:autoSpaceDE w:val="0"/>
              <w:autoSpaceDN w:val="0"/>
              <w:bidi w:val="0"/>
              <w:adjustRightInd w:val="0"/>
              <w:snapToGrid w:val="0"/>
              <w:spacing w:line="600" w:lineRule="exact"/>
              <w:ind w:left="57"/>
              <w:jc w:val="center"/>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财政部门意见（盖章）</w:t>
            </w:r>
          </w:p>
          <w:p w14:paraId="4F6A96EE">
            <w:pPr>
              <w:pStyle w:val="12"/>
              <w:keepNext w:val="0"/>
              <w:keepLines w:val="0"/>
              <w:pageBreakBefore w:val="0"/>
              <w:widowControl w:val="0"/>
              <w:wordWrap/>
              <w:topLinePunct w:val="0"/>
              <w:autoSpaceDE w:val="0"/>
              <w:autoSpaceDN w:val="0"/>
              <w:bidi w:val="0"/>
              <w:adjustRightInd w:val="0"/>
              <w:snapToGrid w:val="0"/>
              <w:spacing w:line="600" w:lineRule="exact"/>
              <w:ind w:left="57" w:firstLine="1668" w:firstLineChars="600"/>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年    月    日</w:t>
            </w:r>
          </w:p>
        </w:tc>
      </w:tr>
    </w:tbl>
    <w:p w14:paraId="27DDEF34">
      <w:pPr>
        <w:pStyle w:val="2"/>
        <w:keepNext w:val="0"/>
        <w:keepLines w:val="0"/>
        <w:pageBreakBefore w:val="0"/>
        <w:widowControl w:val="0"/>
        <w:wordWrap/>
        <w:topLinePunct w:val="0"/>
        <w:autoSpaceDE w:val="0"/>
        <w:autoSpaceDN w:val="0"/>
        <w:bidi w:val="0"/>
        <w:adjustRightInd w:val="0"/>
        <w:snapToGrid w:val="0"/>
        <w:spacing w:line="600" w:lineRule="exact"/>
        <w:ind w:left="103"/>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说明：1</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本表一式三份， 申报单位、主管部门、财政部门各一份；</w:t>
      </w:r>
    </w:p>
    <w:p w14:paraId="614904E4">
      <w:pPr>
        <w:pStyle w:val="2"/>
        <w:keepNext w:val="0"/>
        <w:keepLines w:val="0"/>
        <w:pageBreakBefore w:val="0"/>
        <w:widowControl w:val="0"/>
        <w:wordWrap/>
        <w:topLinePunct w:val="0"/>
        <w:autoSpaceDE w:val="0"/>
        <w:autoSpaceDN w:val="0"/>
        <w:bidi w:val="0"/>
        <w:adjustRightInd w:val="0"/>
        <w:snapToGrid w:val="0"/>
        <w:spacing w:line="600" w:lineRule="exact"/>
        <w:ind w:left="103" w:firstLine="840" w:firstLineChars="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2.资产来源：（1）财政性资金形成（包括预算外资金） ；（2）单位自筹资金形成；（3）单位合并形成；</w:t>
      </w:r>
    </w:p>
    <w:p w14:paraId="3AC37770">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firstLine="980" w:firstLineChars="350"/>
        <w:textAlignment w:val="baseline"/>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（4）上级拨付资金形成；（5）上级调入形成；（6）接受捐赠形成；（7）其他。</w:t>
      </w:r>
    </w:p>
    <w:sectPr>
      <w:footerReference r:id="rId6" w:type="default"/>
      <w:pgSz w:w="16838" w:h="11906" w:orient="landscape"/>
      <w:pgMar w:top="1701" w:right="1417" w:bottom="1417" w:left="1417" w:header="0" w:footer="346"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42924">
    <w:pPr>
      <w:pStyle w:val="3"/>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8245A">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Qpds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80KXbNAIAAGUEAAAOAAAAAAAAAAEAIAAAAB8BAABkcnMvZTJvRG9jLnhtbFBL&#10;BQYAAAAABgAGAFkBAADFBQAAAAA=&#10;">
              <v:fill on="f" focussize="0,0"/>
              <v:stroke on="f" weight="0.5pt"/>
              <v:imagedata o:title=""/>
              <o:lock v:ext="edit" aspectratio="f"/>
              <v:textbox inset="0mm,0mm,0mm,0mm" style="mso-fit-shape-to-text:t;">
                <w:txbxContent>
                  <w:p w14:paraId="4C08245A">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ED81A">
    <w:pPr>
      <w:spacing w:line="176" w:lineRule="auto"/>
      <w:rPr>
        <w:rFonts w:ascii="Calibri" w:hAnsi="Calibri" w:eastAsia="Calibri" w:cs="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D17DE"/>
    <w:multiLevelType w:val="singleLevel"/>
    <w:tmpl w:val="02DD17DE"/>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130189"/>
    <w:rsid w:val="0046550B"/>
    <w:rsid w:val="00FF5E3A"/>
    <w:rsid w:val="016519C1"/>
    <w:rsid w:val="030C5A8C"/>
    <w:rsid w:val="032338E1"/>
    <w:rsid w:val="03A8237B"/>
    <w:rsid w:val="03AA7B5F"/>
    <w:rsid w:val="042E253E"/>
    <w:rsid w:val="044C6E68"/>
    <w:rsid w:val="04553F6E"/>
    <w:rsid w:val="045A3333"/>
    <w:rsid w:val="04714B20"/>
    <w:rsid w:val="04F05A45"/>
    <w:rsid w:val="053E119F"/>
    <w:rsid w:val="067508F8"/>
    <w:rsid w:val="06A81105"/>
    <w:rsid w:val="07A07BF6"/>
    <w:rsid w:val="082500FC"/>
    <w:rsid w:val="088352BB"/>
    <w:rsid w:val="0887022D"/>
    <w:rsid w:val="090146C5"/>
    <w:rsid w:val="091031EE"/>
    <w:rsid w:val="09F91840"/>
    <w:rsid w:val="0A053D41"/>
    <w:rsid w:val="0A410AF1"/>
    <w:rsid w:val="0A947E48"/>
    <w:rsid w:val="0B2C6B2B"/>
    <w:rsid w:val="0B9F6417"/>
    <w:rsid w:val="0BED0F30"/>
    <w:rsid w:val="0C061FF2"/>
    <w:rsid w:val="0C134665"/>
    <w:rsid w:val="0C360B29"/>
    <w:rsid w:val="0C6C62F9"/>
    <w:rsid w:val="0CD67C16"/>
    <w:rsid w:val="0D51729D"/>
    <w:rsid w:val="0D907DC5"/>
    <w:rsid w:val="0DD759F4"/>
    <w:rsid w:val="0E146C48"/>
    <w:rsid w:val="0F2A57D8"/>
    <w:rsid w:val="0F5512C6"/>
    <w:rsid w:val="103F5AD3"/>
    <w:rsid w:val="10507CE0"/>
    <w:rsid w:val="10C61D50"/>
    <w:rsid w:val="10DC1574"/>
    <w:rsid w:val="110079DA"/>
    <w:rsid w:val="11360C84"/>
    <w:rsid w:val="11EC57E6"/>
    <w:rsid w:val="11F562D4"/>
    <w:rsid w:val="12192A7F"/>
    <w:rsid w:val="12445622"/>
    <w:rsid w:val="1266007C"/>
    <w:rsid w:val="12802AFE"/>
    <w:rsid w:val="12D70244"/>
    <w:rsid w:val="14900FF3"/>
    <w:rsid w:val="14CB5B87"/>
    <w:rsid w:val="14E31122"/>
    <w:rsid w:val="15127C5A"/>
    <w:rsid w:val="165262AA"/>
    <w:rsid w:val="169528F0"/>
    <w:rsid w:val="16D8458B"/>
    <w:rsid w:val="1783099B"/>
    <w:rsid w:val="17886664"/>
    <w:rsid w:val="17A26839"/>
    <w:rsid w:val="17E10869"/>
    <w:rsid w:val="18567ED2"/>
    <w:rsid w:val="185F6D12"/>
    <w:rsid w:val="18CA08C2"/>
    <w:rsid w:val="19E82D37"/>
    <w:rsid w:val="1AFE1D64"/>
    <w:rsid w:val="1B230ED8"/>
    <w:rsid w:val="1B293607"/>
    <w:rsid w:val="1B7156DA"/>
    <w:rsid w:val="1C2453B2"/>
    <w:rsid w:val="1C8C20A0"/>
    <w:rsid w:val="1CA7512B"/>
    <w:rsid w:val="1CF0262F"/>
    <w:rsid w:val="1DAB29F9"/>
    <w:rsid w:val="1DE877AA"/>
    <w:rsid w:val="1DFC52DB"/>
    <w:rsid w:val="1E284E14"/>
    <w:rsid w:val="1E71154D"/>
    <w:rsid w:val="1F503858"/>
    <w:rsid w:val="1F5642E7"/>
    <w:rsid w:val="1F647FF0"/>
    <w:rsid w:val="1F946E5A"/>
    <w:rsid w:val="1FC57DA2"/>
    <w:rsid w:val="1FE81CE3"/>
    <w:rsid w:val="206770AC"/>
    <w:rsid w:val="209A1EC3"/>
    <w:rsid w:val="219815E0"/>
    <w:rsid w:val="22600256"/>
    <w:rsid w:val="22603DB2"/>
    <w:rsid w:val="22AD4B1E"/>
    <w:rsid w:val="22B45EAC"/>
    <w:rsid w:val="233C5C79"/>
    <w:rsid w:val="23B418F7"/>
    <w:rsid w:val="2427533E"/>
    <w:rsid w:val="24AA7567"/>
    <w:rsid w:val="253B4663"/>
    <w:rsid w:val="26437C73"/>
    <w:rsid w:val="264834DB"/>
    <w:rsid w:val="2673350C"/>
    <w:rsid w:val="26B548A5"/>
    <w:rsid w:val="26ED5E31"/>
    <w:rsid w:val="27135897"/>
    <w:rsid w:val="274A5031"/>
    <w:rsid w:val="27C41529"/>
    <w:rsid w:val="284F49DE"/>
    <w:rsid w:val="28680014"/>
    <w:rsid w:val="2919115F"/>
    <w:rsid w:val="29C9048F"/>
    <w:rsid w:val="2A04596B"/>
    <w:rsid w:val="2A706CFE"/>
    <w:rsid w:val="2A802219"/>
    <w:rsid w:val="2BE37FED"/>
    <w:rsid w:val="2D8868B3"/>
    <w:rsid w:val="2D92328E"/>
    <w:rsid w:val="2DF67CC1"/>
    <w:rsid w:val="2E144AF5"/>
    <w:rsid w:val="2E8F1CA4"/>
    <w:rsid w:val="2E951288"/>
    <w:rsid w:val="2E9A064C"/>
    <w:rsid w:val="2EC76F67"/>
    <w:rsid w:val="2F967065"/>
    <w:rsid w:val="2F9C5839"/>
    <w:rsid w:val="2FED0C50"/>
    <w:rsid w:val="2FF7387C"/>
    <w:rsid w:val="30406F02"/>
    <w:rsid w:val="310F61E7"/>
    <w:rsid w:val="31105ADC"/>
    <w:rsid w:val="31384CFA"/>
    <w:rsid w:val="325D20BC"/>
    <w:rsid w:val="329D4BAF"/>
    <w:rsid w:val="32FE389F"/>
    <w:rsid w:val="331704BD"/>
    <w:rsid w:val="336B3AC9"/>
    <w:rsid w:val="33DA14EB"/>
    <w:rsid w:val="340A6274"/>
    <w:rsid w:val="341C1B03"/>
    <w:rsid w:val="342509B8"/>
    <w:rsid w:val="3542559A"/>
    <w:rsid w:val="358E6A31"/>
    <w:rsid w:val="35FB2318"/>
    <w:rsid w:val="36145188"/>
    <w:rsid w:val="36965B9D"/>
    <w:rsid w:val="36DF7544"/>
    <w:rsid w:val="37FC7148"/>
    <w:rsid w:val="383A69FC"/>
    <w:rsid w:val="383D2808"/>
    <w:rsid w:val="38653A79"/>
    <w:rsid w:val="39535FC7"/>
    <w:rsid w:val="39C40C73"/>
    <w:rsid w:val="39D37108"/>
    <w:rsid w:val="3A6B7341"/>
    <w:rsid w:val="3A9601D5"/>
    <w:rsid w:val="3AB94E3F"/>
    <w:rsid w:val="3ACE6FCF"/>
    <w:rsid w:val="3B1E43B3"/>
    <w:rsid w:val="3C7802BC"/>
    <w:rsid w:val="3CC7170F"/>
    <w:rsid w:val="3D220543"/>
    <w:rsid w:val="3D736C38"/>
    <w:rsid w:val="3D902FEA"/>
    <w:rsid w:val="3D956BAE"/>
    <w:rsid w:val="3DA07301"/>
    <w:rsid w:val="3E0E6961"/>
    <w:rsid w:val="3E5F0F6A"/>
    <w:rsid w:val="3E68075C"/>
    <w:rsid w:val="3EAD7F28"/>
    <w:rsid w:val="3F3C12AC"/>
    <w:rsid w:val="3F3E6DD2"/>
    <w:rsid w:val="3FA97C9E"/>
    <w:rsid w:val="3FC25C55"/>
    <w:rsid w:val="3FD55A31"/>
    <w:rsid w:val="401069C0"/>
    <w:rsid w:val="40AB3CC6"/>
    <w:rsid w:val="40C96B6F"/>
    <w:rsid w:val="418A4550"/>
    <w:rsid w:val="41A25D3E"/>
    <w:rsid w:val="41A82C28"/>
    <w:rsid w:val="424961B9"/>
    <w:rsid w:val="42AB6E74"/>
    <w:rsid w:val="4302231D"/>
    <w:rsid w:val="434B3551"/>
    <w:rsid w:val="435B2648"/>
    <w:rsid w:val="436F39FE"/>
    <w:rsid w:val="43BD6E5F"/>
    <w:rsid w:val="4456696C"/>
    <w:rsid w:val="446217B4"/>
    <w:rsid w:val="47503B46"/>
    <w:rsid w:val="47AB5220"/>
    <w:rsid w:val="47F646ED"/>
    <w:rsid w:val="48014633"/>
    <w:rsid w:val="48587156"/>
    <w:rsid w:val="48805BFF"/>
    <w:rsid w:val="49105C83"/>
    <w:rsid w:val="494E0559"/>
    <w:rsid w:val="49635DB3"/>
    <w:rsid w:val="497C0C22"/>
    <w:rsid w:val="497C6E74"/>
    <w:rsid w:val="49957F36"/>
    <w:rsid w:val="49AC2D8E"/>
    <w:rsid w:val="49C42ED7"/>
    <w:rsid w:val="49C66341"/>
    <w:rsid w:val="49CA5E32"/>
    <w:rsid w:val="4AAF2DB6"/>
    <w:rsid w:val="4ACC12A9"/>
    <w:rsid w:val="4B4340EE"/>
    <w:rsid w:val="4B490FD8"/>
    <w:rsid w:val="4BD27220"/>
    <w:rsid w:val="4BF47196"/>
    <w:rsid w:val="4D225F85"/>
    <w:rsid w:val="4DBC1F35"/>
    <w:rsid w:val="4DC4703C"/>
    <w:rsid w:val="4E0A4825"/>
    <w:rsid w:val="4E10402F"/>
    <w:rsid w:val="4E3A10AC"/>
    <w:rsid w:val="4E573A0C"/>
    <w:rsid w:val="4F2558B8"/>
    <w:rsid w:val="4F806F93"/>
    <w:rsid w:val="4FCD667C"/>
    <w:rsid w:val="50FB0FC7"/>
    <w:rsid w:val="52C8137C"/>
    <w:rsid w:val="52E11882"/>
    <w:rsid w:val="536A41E2"/>
    <w:rsid w:val="53794425"/>
    <w:rsid w:val="54FE1085"/>
    <w:rsid w:val="5520724E"/>
    <w:rsid w:val="55825812"/>
    <w:rsid w:val="565E7211"/>
    <w:rsid w:val="569E667C"/>
    <w:rsid w:val="56A62C37"/>
    <w:rsid w:val="56F52014"/>
    <w:rsid w:val="5783624D"/>
    <w:rsid w:val="581F1347"/>
    <w:rsid w:val="58920462"/>
    <w:rsid w:val="58BF28DA"/>
    <w:rsid w:val="5A866D10"/>
    <w:rsid w:val="5AC24903"/>
    <w:rsid w:val="5BE014E5"/>
    <w:rsid w:val="5C14118E"/>
    <w:rsid w:val="5C4E46A0"/>
    <w:rsid w:val="5C4E565C"/>
    <w:rsid w:val="5C583509"/>
    <w:rsid w:val="5C7B120D"/>
    <w:rsid w:val="5CA22688"/>
    <w:rsid w:val="5CDB3281"/>
    <w:rsid w:val="5CE60D7D"/>
    <w:rsid w:val="5D850596"/>
    <w:rsid w:val="5D9B7269"/>
    <w:rsid w:val="5DA61903"/>
    <w:rsid w:val="5EB273C3"/>
    <w:rsid w:val="5ED974EA"/>
    <w:rsid w:val="5F1603BE"/>
    <w:rsid w:val="5F335DCF"/>
    <w:rsid w:val="5FBC5DC5"/>
    <w:rsid w:val="60251BBC"/>
    <w:rsid w:val="61001CE1"/>
    <w:rsid w:val="61A46B11"/>
    <w:rsid w:val="62060F41"/>
    <w:rsid w:val="620B6B90"/>
    <w:rsid w:val="62595B4D"/>
    <w:rsid w:val="629B099E"/>
    <w:rsid w:val="629E5C56"/>
    <w:rsid w:val="62F87114"/>
    <w:rsid w:val="63952432"/>
    <w:rsid w:val="63B53257"/>
    <w:rsid w:val="63B82D47"/>
    <w:rsid w:val="63C67212"/>
    <w:rsid w:val="63F77C6D"/>
    <w:rsid w:val="64101D36"/>
    <w:rsid w:val="641D0273"/>
    <w:rsid w:val="64CF3058"/>
    <w:rsid w:val="65600C78"/>
    <w:rsid w:val="65AE7F5E"/>
    <w:rsid w:val="667747F4"/>
    <w:rsid w:val="66884C53"/>
    <w:rsid w:val="669453A6"/>
    <w:rsid w:val="66F83B86"/>
    <w:rsid w:val="66F94AA6"/>
    <w:rsid w:val="67376B9D"/>
    <w:rsid w:val="677D22DE"/>
    <w:rsid w:val="67B83316"/>
    <w:rsid w:val="67DD4B2A"/>
    <w:rsid w:val="68A74AFF"/>
    <w:rsid w:val="69004321"/>
    <w:rsid w:val="691C78D4"/>
    <w:rsid w:val="69AE49D0"/>
    <w:rsid w:val="69B65CC0"/>
    <w:rsid w:val="6AC41FD2"/>
    <w:rsid w:val="6ADC731B"/>
    <w:rsid w:val="6AF723A7"/>
    <w:rsid w:val="6B673089"/>
    <w:rsid w:val="6C81461E"/>
    <w:rsid w:val="6C871509"/>
    <w:rsid w:val="6CE4695B"/>
    <w:rsid w:val="6D205BE5"/>
    <w:rsid w:val="6D3276C6"/>
    <w:rsid w:val="6DE210EC"/>
    <w:rsid w:val="6DF32FC4"/>
    <w:rsid w:val="6F140CA0"/>
    <w:rsid w:val="6F377216"/>
    <w:rsid w:val="6F703660"/>
    <w:rsid w:val="70B8153B"/>
    <w:rsid w:val="70F76C5D"/>
    <w:rsid w:val="712E4649"/>
    <w:rsid w:val="715045BF"/>
    <w:rsid w:val="71A36DE5"/>
    <w:rsid w:val="721750DD"/>
    <w:rsid w:val="727367B7"/>
    <w:rsid w:val="72BF19FC"/>
    <w:rsid w:val="72FC49FE"/>
    <w:rsid w:val="73B057E9"/>
    <w:rsid w:val="73C51294"/>
    <w:rsid w:val="73C848E1"/>
    <w:rsid w:val="73E97B4F"/>
    <w:rsid w:val="73F97190"/>
    <w:rsid w:val="744877CF"/>
    <w:rsid w:val="74CB28DA"/>
    <w:rsid w:val="756643B1"/>
    <w:rsid w:val="760065B4"/>
    <w:rsid w:val="7671300D"/>
    <w:rsid w:val="7693525B"/>
    <w:rsid w:val="77E31CE9"/>
    <w:rsid w:val="792752BC"/>
    <w:rsid w:val="79AC0800"/>
    <w:rsid w:val="7A187C44"/>
    <w:rsid w:val="7A546ECE"/>
    <w:rsid w:val="7A652E89"/>
    <w:rsid w:val="7AE82346"/>
    <w:rsid w:val="7B6E0463"/>
    <w:rsid w:val="7B7F61CD"/>
    <w:rsid w:val="7CD95DB0"/>
    <w:rsid w:val="7CF6426C"/>
    <w:rsid w:val="7D0A7D18"/>
    <w:rsid w:val="7D24527D"/>
    <w:rsid w:val="7DA9291F"/>
    <w:rsid w:val="7DD345AE"/>
    <w:rsid w:val="7DF369FE"/>
    <w:rsid w:val="7E0D5D12"/>
    <w:rsid w:val="7E1C7D03"/>
    <w:rsid w:val="7E7318ED"/>
    <w:rsid w:val="7E7F4735"/>
    <w:rsid w:val="7EB22415"/>
    <w:rsid w:val="7F2E23E3"/>
    <w:rsid w:val="7F840255"/>
    <w:rsid w:val="7FAF4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font51"/>
    <w:basedOn w:val="6"/>
    <w:qFormat/>
    <w:uiPriority w:val="0"/>
    <w:rPr>
      <w:rFonts w:hint="eastAsia" w:ascii="仿宋_GB2312" w:eastAsia="仿宋_GB2312" w:cs="仿宋_GB2312"/>
      <w:color w:val="000000"/>
      <w:sz w:val="28"/>
      <w:szCs w:val="28"/>
      <w:u w:val="none"/>
    </w:rPr>
  </w:style>
  <w:style w:type="character" w:customStyle="1" w:styleId="9">
    <w:name w:val="font61"/>
    <w:basedOn w:val="6"/>
    <w:qFormat/>
    <w:uiPriority w:val="0"/>
    <w:rPr>
      <w:rFonts w:hint="eastAsia" w:ascii="仿宋_GB2312" w:eastAsia="仿宋_GB2312" w:cs="仿宋_GB2312"/>
      <w:color w:val="000000"/>
      <w:sz w:val="22"/>
      <w:szCs w:val="22"/>
      <w:u w:val="none"/>
    </w:rPr>
  </w:style>
  <w:style w:type="character" w:customStyle="1" w:styleId="10">
    <w:name w:val="font71"/>
    <w:basedOn w:val="6"/>
    <w:qFormat/>
    <w:uiPriority w:val="0"/>
    <w:rPr>
      <w:rFonts w:hint="eastAsia" w:ascii="仿宋_GB2312" w:eastAsia="仿宋_GB2312" w:cs="仿宋_GB2312"/>
      <w:color w:val="000000"/>
      <w:sz w:val="18"/>
      <w:szCs w:val="18"/>
      <w:u w:val="none"/>
    </w:rPr>
  </w:style>
  <w:style w:type="character" w:customStyle="1" w:styleId="11">
    <w:name w:val="font81"/>
    <w:basedOn w:val="6"/>
    <w:qFormat/>
    <w:uiPriority w:val="0"/>
    <w:rPr>
      <w:rFonts w:hint="eastAsia" w:ascii="仿宋_GB2312" w:eastAsia="仿宋_GB2312" w:cs="仿宋_GB2312"/>
      <w:color w:val="000000"/>
      <w:sz w:val="20"/>
      <w:szCs w:val="20"/>
      <w:u w:val="none"/>
    </w:rPr>
  </w:style>
  <w:style w:type="paragraph" w:customStyle="1" w:styleId="12">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6075</Words>
  <Characters>6089</Characters>
  <TotalTime>48</TotalTime>
  <ScaleCrop>false</ScaleCrop>
  <LinksUpToDate>false</LinksUpToDate>
  <CharactersWithSpaces>6630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2025-04-14T14:35:00Z</dcterms:created>
  <dc:creator>Administrator</dc:creator>
  <cp:lastModifiedBy>admin</cp:lastModifiedBy>
  <cp:lastPrinted>2025-05-15T02:41:00Z</cp:lastPrinted>
  <dcterms:modified xsi:type="dcterms:W3CDTF">2025-05-23T02:15:14Z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2025-04-14T14:35:48Z</vt:filetime>
  </property>
  <property fmtid="{D5CDD505-2E9C-101B-9397-08002B2CF9AE}" pid="4" name="UsrData">
    <vt:lpwstr>67fcacbf47bdb1001f40d22awl</vt:lpwstr>
  </property>
  <property fmtid="{D5CDD505-2E9C-101B-9397-08002B2CF9AE}" pid="5" name="KSOTemplateDocerSaveRecord">
    <vt:lpwstr>eyJoZGlkIjoiOTZmYjIxYjI5ODQwYzZmNzM0N2NmYTEyOTM1N2JhNmEifQ==</vt:lpwstr>
  </property>
  <property fmtid="{D5CDD505-2E9C-101B-9397-08002B2CF9AE}" pid="6" name="KSOProductBuildVer">
    <vt:lpwstr>2052-12.1.0.20784</vt:lpwstr>
  </property>
  <property fmtid="{D5CDD505-2E9C-101B-9397-08002B2CF9AE}" pid="7" name="ICV">
    <vt:lpwstr>1479101A495147BAA75027C406A756C4_13</vt:lpwstr>
  </property>
</Properties>
</file>