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distribute"/>
        <w:rPr>
          <w:rFonts w:ascii="方正小标宋简体" w:hAnsi="黑体" w:eastAsia="方正小标宋简体" w:cs="仿宋_GB2312"/>
          <w:kern w:val="0"/>
          <w:sz w:val="36"/>
          <w:szCs w:val="36"/>
        </w:rPr>
      </w:pPr>
    </w:p>
    <w:p>
      <w:pPr>
        <w:autoSpaceDE w:val="0"/>
        <w:autoSpaceDN w:val="0"/>
        <w:adjustRightInd w:val="0"/>
        <w:jc w:val="distribute"/>
        <w:rPr>
          <w:rFonts w:ascii="方正小标宋简体" w:hAnsi="黑体" w:eastAsia="方正小标宋简体" w:cs="仿宋_GB2312"/>
          <w:kern w:val="0"/>
          <w:sz w:val="36"/>
          <w:szCs w:val="36"/>
        </w:rPr>
      </w:pPr>
    </w:p>
    <w:p>
      <w:pPr>
        <w:autoSpaceDE w:val="0"/>
        <w:autoSpaceDN w:val="0"/>
        <w:adjustRightInd w:val="0"/>
        <w:spacing w:line="560" w:lineRule="exact"/>
        <w:jc w:val="distribute"/>
        <w:rPr>
          <w:rFonts w:ascii="方正小标宋简体" w:hAnsi="黑体" w:eastAsia="方正小标宋简体" w:cs="仿宋_GB2312"/>
          <w:spacing w:val="-14"/>
          <w:kern w:val="0"/>
          <w:sz w:val="44"/>
          <w:szCs w:val="44"/>
        </w:rPr>
      </w:pPr>
      <w:r>
        <w:rPr>
          <w:rFonts w:hint="eastAsia" w:ascii="方正小标宋简体" w:hAnsi="黑体" w:eastAsia="方正小标宋简体" w:cs="仿宋_GB2312"/>
          <w:spacing w:val="-14"/>
          <w:kern w:val="0"/>
          <w:sz w:val="44"/>
          <w:szCs w:val="44"/>
        </w:rPr>
        <w:t>河南省农业农村厅 河南省财政厅 河南省商务厅</w:t>
      </w:r>
    </w:p>
    <w:p>
      <w:pPr>
        <w:autoSpaceDE w:val="0"/>
        <w:autoSpaceDN w:val="0"/>
        <w:adjustRightInd w:val="0"/>
        <w:spacing w:line="560" w:lineRule="exact"/>
        <w:jc w:val="center"/>
        <w:rPr>
          <w:rFonts w:ascii="方正小标宋简体" w:hAnsi="黑体" w:eastAsia="方正小标宋简体" w:cs="仿宋_GB2312"/>
          <w:spacing w:val="-14"/>
          <w:kern w:val="0"/>
          <w:sz w:val="44"/>
          <w:szCs w:val="44"/>
        </w:rPr>
      </w:pPr>
      <w:r>
        <w:rPr>
          <w:rFonts w:hint="eastAsia" w:ascii="方正小标宋简体" w:hAnsi="黑体" w:eastAsia="方正小标宋简体" w:cs="仿宋_GB2312"/>
          <w:spacing w:val="-14"/>
          <w:kern w:val="0"/>
          <w:sz w:val="44"/>
          <w:szCs w:val="44"/>
        </w:rPr>
        <w:t>关于印发《河南省农业机械报废更新补贴</w:t>
      </w:r>
    </w:p>
    <w:p>
      <w:pPr>
        <w:autoSpaceDE w:val="0"/>
        <w:autoSpaceDN w:val="0"/>
        <w:adjustRightInd w:val="0"/>
        <w:spacing w:line="560" w:lineRule="exact"/>
        <w:jc w:val="center"/>
        <w:rPr>
          <w:rFonts w:ascii="方正小标宋简体" w:hAnsi="黑体" w:eastAsia="方正小标宋简体" w:cs="仿宋_GB2312"/>
          <w:kern w:val="0"/>
          <w:sz w:val="36"/>
          <w:szCs w:val="36"/>
        </w:rPr>
      </w:pPr>
      <w:r>
        <w:rPr>
          <w:rFonts w:hint="eastAsia" w:ascii="方正小标宋简体" w:hAnsi="黑体" w:eastAsia="方正小标宋简体" w:cs="仿宋_GB2312"/>
          <w:spacing w:val="-14"/>
          <w:kern w:val="0"/>
          <w:sz w:val="44"/>
          <w:szCs w:val="44"/>
        </w:rPr>
        <w:t>实施方案》的通知</w:t>
      </w:r>
    </w:p>
    <w:p>
      <w:pPr>
        <w:autoSpaceDE w:val="0"/>
        <w:autoSpaceDN w:val="0"/>
        <w:adjustRightInd w:val="0"/>
        <w:jc w:val="left"/>
        <w:rPr>
          <w:rFonts w:ascii="仿宋_GB2312" w:eastAsia="仿宋_GB2312" w:cs="仿宋_GB2312"/>
          <w:kern w:val="0"/>
          <w:sz w:val="32"/>
          <w:szCs w:val="32"/>
        </w:rPr>
      </w:pP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各省辖市、济源示范区、各省直管县（市）农业机械化主管部门、财政局、商务局：</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根据农业农村部办公厅、财政部办公厅、商务部办公厅《农业机械报废更新补贴实施指导意见》（农办机〔2020〕2号）要求，为切实做好我省农业机械报废更新补贴工作，河南省农业农村厅、河南省财政厅、河南省商务厅共同制定了《河南省农业机械报废更新补贴实施方案》，现印发你们，请抓好贯彻落实。</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p>
    <w:p>
      <w:pPr>
        <w:autoSpaceDE w:val="0"/>
        <w:autoSpaceDN w:val="0"/>
        <w:adjustRightInd w:val="0"/>
        <w:ind w:firstLine="960" w:firstLineChars="300"/>
        <w:jc w:val="left"/>
        <w:rPr>
          <w:rFonts w:ascii="仿宋_GB2312" w:eastAsia="仿宋_GB2312" w:cs="仿宋_GB2312"/>
          <w:kern w:val="0"/>
          <w:sz w:val="32"/>
          <w:szCs w:val="32"/>
        </w:rPr>
      </w:pPr>
      <w:r>
        <w:rPr>
          <w:rFonts w:hint="eastAsia" w:ascii="仿宋_GB2312" w:eastAsia="仿宋_GB2312" w:cs="仿宋_GB2312"/>
          <w:kern w:val="0"/>
          <w:sz w:val="32"/>
          <w:szCs w:val="32"/>
        </w:rPr>
        <w:t>河南省农业农村厅   河南省财政厅   河南省商务厅</w:t>
      </w:r>
    </w:p>
    <w:p>
      <w:pPr>
        <w:autoSpaceDE w:val="0"/>
        <w:autoSpaceDN w:val="0"/>
        <w:adjustRightInd w:val="0"/>
        <w:ind w:firstLine="5760" w:firstLineChars="1800"/>
        <w:jc w:val="left"/>
        <w:rPr>
          <w:rFonts w:ascii="仿宋_GB2312" w:eastAsia="仿宋_GB2312" w:cs="仿宋_GB2312"/>
          <w:kern w:val="0"/>
          <w:sz w:val="32"/>
          <w:szCs w:val="32"/>
        </w:rPr>
      </w:pPr>
    </w:p>
    <w:p>
      <w:pPr>
        <w:autoSpaceDE w:val="0"/>
        <w:autoSpaceDN w:val="0"/>
        <w:adjustRightInd w:val="0"/>
        <w:ind w:firstLine="5760" w:firstLineChars="1800"/>
        <w:jc w:val="left"/>
        <w:rPr>
          <w:rFonts w:ascii="仿宋_GB2312" w:eastAsia="仿宋_GB2312" w:cs="仿宋_GB2312"/>
          <w:kern w:val="0"/>
          <w:sz w:val="32"/>
          <w:szCs w:val="32"/>
        </w:rPr>
      </w:pPr>
      <w:r>
        <w:rPr>
          <w:rFonts w:hint="eastAsia" w:ascii="仿宋_GB2312" w:eastAsia="仿宋_GB2312" w:cs="仿宋_GB2312"/>
          <w:kern w:val="0"/>
          <w:sz w:val="32"/>
          <w:szCs w:val="32"/>
        </w:rPr>
        <w:t>2020年6月22日</w:t>
      </w:r>
    </w:p>
    <w:p>
      <w:pPr>
        <w:widowControl/>
        <w:spacing w:line="375" w:lineRule="atLeast"/>
        <w:jc w:val="center"/>
        <w:rPr>
          <w:rFonts w:ascii="方正小标宋简体" w:hAnsi="微软雅黑" w:eastAsia="方正小标宋简体" w:cs="宋体"/>
          <w:color w:val="000000"/>
          <w:kern w:val="0"/>
          <w:sz w:val="44"/>
          <w:szCs w:val="44"/>
        </w:rPr>
      </w:pPr>
      <w:r>
        <w:rPr>
          <w:rFonts w:ascii="方正小标宋简体" w:hAnsi="微软雅黑" w:eastAsia="方正小标宋简体" w:cs="宋体"/>
          <w:bCs/>
          <w:color w:val="000000"/>
          <w:kern w:val="0"/>
          <w:sz w:val="44"/>
          <w:szCs w:val="44"/>
        </w:rPr>
        <w:br w:type="page"/>
      </w:r>
      <w:r>
        <w:rPr>
          <w:rFonts w:hint="eastAsia" w:ascii="方正小标宋简体" w:hAnsi="微软雅黑" w:eastAsia="方正小标宋简体" w:cs="宋体"/>
          <w:bCs/>
          <w:color w:val="000000"/>
          <w:kern w:val="0"/>
          <w:sz w:val="44"/>
          <w:szCs w:val="44"/>
        </w:rPr>
        <w:t>河南省农业机械报废更新补贴实施方案</w:t>
      </w:r>
    </w:p>
    <w:p>
      <w:pPr>
        <w:autoSpaceDE w:val="0"/>
        <w:autoSpaceDN w:val="0"/>
        <w:adjustRightInd w:val="0"/>
        <w:ind w:firstLine="640" w:firstLineChars="200"/>
        <w:jc w:val="left"/>
        <w:rPr>
          <w:rFonts w:ascii="仿宋_GB2312" w:eastAsia="仿宋_GB2312" w:cs="仿宋_GB2312"/>
          <w:kern w:val="0"/>
          <w:sz w:val="32"/>
          <w:szCs w:val="32"/>
        </w:rPr>
      </w:pP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为贯彻落实农业农村部办公厅、财政部办公厅、商务部办公</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厅《农业机械报废更新补贴实施指导意见》（农办机〔</w:t>
      </w:r>
      <w:r>
        <w:rPr>
          <w:rFonts w:ascii="仿宋_GB2312" w:eastAsia="仿宋_GB2312" w:cs="仿宋_GB2312"/>
          <w:kern w:val="0"/>
          <w:sz w:val="32"/>
          <w:szCs w:val="32"/>
        </w:rPr>
        <w:t>2020</w:t>
      </w:r>
      <w:r>
        <w:rPr>
          <w:rFonts w:hint="eastAsia" w:ascii="仿宋_GB2312" w:eastAsia="仿宋_GB2312" w:cs="仿宋_GB2312"/>
          <w:kern w:val="0"/>
          <w:sz w:val="32"/>
          <w:szCs w:val="32"/>
        </w:rPr>
        <w:t>〕</w:t>
      </w:r>
      <w:r>
        <w:rPr>
          <w:rFonts w:ascii="仿宋_GB2312" w:eastAsia="仿宋_GB2312" w:cs="仿宋_GB2312"/>
          <w:kern w:val="0"/>
          <w:sz w:val="32"/>
          <w:szCs w:val="32"/>
        </w:rPr>
        <w:t>2</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号）要求，切实做好我省农业机械报废更新补贴工作，制定本实施方案。</w:t>
      </w:r>
    </w:p>
    <w:p>
      <w:pPr>
        <w:widowControl/>
        <w:wordWrap w:val="0"/>
        <w:spacing w:line="375" w:lineRule="atLeast"/>
        <w:ind w:firstLine="675" w:firstLineChars="250"/>
        <w:jc w:val="left"/>
        <w:rPr>
          <w:rFonts w:ascii="黑体" w:hAnsi="黑体" w:eastAsia="黑体" w:cs="宋体"/>
          <w:color w:val="000000"/>
          <w:kern w:val="0"/>
          <w:sz w:val="24"/>
        </w:rPr>
      </w:pPr>
      <w:r>
        <w:rPr>
          <w:rFonts w:hint="eastAsia" w:ascii="黑体" w:hAnsi="黑体" w:eastAsia="黑体" w:cs="宋体"/>
          <w:bCs/>
          <w:color w:val="000000"/>
          <w:kern w:val="0"/>
          <w:sz w:val="27"/>
          <w:szCs w:val="27"/>
        </w:rPr>
        <w:t>一、总体要求</w:t>
      </w:r>
    </w:p>
    <w:p>
      <w:pPr>
        <w:widowControl/>
        <w:wordWrap w:val="0"/>
        <w:spacing w:line="375"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widowControl/>
        <w:wordWrap w:val="0"/>
        <w:spacing w:line="375" w:lineRule="atLeas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二、实施范围和补贴对象</w:t>
      </w:r>
    </w:p>
    <w:p>
      <w:pPr>
        <w:widowControl/>
        <w:wordWrap w:val="0"/>
        <w:spacing w:line="375"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kern w:val="0"/>
          <w:sz w:val="32"/>
          <w:szCs w:val="32"/>
        </w:rPr>
        <w:t>农机报废更新补贴政策在全省</w:t>
      </w:r>
      <w:r>
        <w:rPr>
          <w:rFonts w:hint="eastAsia" w:ascii="仿宋_GB2312" w:eastAsia="仿宋_GB2312"/>
          <w:sz w:val="32"/>
          <w:szCs w:val="32"/>
        </w:rPr>
        <w:t>所有开展农业机械购置补贴的县（市、区）实施</w:t>
      </w:r>
      <w:r>
        <w:rPr>
          <w:rFonts w:hint="eastAsia" w:ascii="仿宋_GB2312" w:hAnsi="微软雅黑" w:eastAsia="仿宋_GB2312" w:cs="宋体"/>
          <w:kern w:val="0"/>
          <w:sz w:val="32"/>
          <w:szCs w:val="32"/>
        </w:rPr>
        <w:t>，资金从中央财政分配我省农机购置补贴中安排。</w:t>
      </w:r>
      <w:r>
        <w:rPr>
          <w:rFonts w:hint="eastAsia" w:ascii="仿宋_GB2312" w:hAnsi="微软雅黑" w:eastAsia="仿宋_GB2312" w:cs="宋体"/>
          <w:color w:val="000000"/>
          <w:kern w:val="0"/>
          <w:sz w:val="32"/>
          <w:szCs w:val="32"/>
        </w:rPr>
        <w:t>补贴对象为从事农业生产的个人和农业生产经营组织。农业生产经营组织包括农村集体经济组织、农民专业合作经济组织、农业企业和其他从事农业生产经营的组织。</w:t>
      </w:r>
    </w:p>
    <w:p>
      <w:pPr>
        <w:widowControl/>
        <w:wordWrap w:val="0"/>
        <w:spacing w:line="375" w:lineRule="atLeas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三、报废补贴种类及条件</w:t>
      </w:r>
    </w:p>
    <w:p>
      <w:pPr>
        <w:widowControl/>
        <w:spacing w:line="375" w:lineRule="atLeas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（一）补贴种类。</w:t>
      </w:r>
      <w:r>
        <w:rPr>
          <w:rFonts w:hint="eastAsia" w:ascii="仿宋_GB2312" w:hAnsi="微软雅黑" w:eastAsia="仿宋_GB2312" w:cs="宋体"/>
          <w:color w:val="000000"/>
          <w:kern w:val="0"/>
          <w:sz w:val="32"/>
          <w:szCs w:val="32"/>
        </w:rPr>
        <w:t>我省补贴报废农机种类为拖拉机、联合收割机、水稻插秧机、玉米脱粒机、花生摘果机、饲料（草）粉碎机、铡草机。各县（市、区）可结合本地实际，在我省补贴报废机具范围内提出具体的机具补贴种类。</w:t>
      </w:r>
    </w:p>
    <w:p>
      <w:pPr>
        <w:autoSpaceDN w:val="0"/>
        <w:spacing w:line="600" w:lineRule="exact"/>
        <w:ind w:firstLine="643" w:firstLineChars="200"/>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（二）报废条件。</w:t>
      </w:r>
      <w:r>
        <w:rPr>
          <w:rFonts w:hint="eastAsia" w:ascii="仿宋_GB2312" w:hAnsi="微软雅黑" w:eastAsia="仿宋_GB2312" w:cs="宋体"/>
          <w:color w:val="000000"/>
          <w:kern w:val="0"/>
          <w:sz w:val="32"/>
          <w:szCs w:val="32"/>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autoSpaceDN w:val="0"/>
        <w:spacing w:line="600" w:lineRule="exact"/>
        <w:ind w:firstLine="640" w:firstLineChars="200"/>
        <w:rPr>
          <w:rFonts w:ascii="仿宋_GB2312" w:hAnsi="微软雅黑" w:eastAsia="仿宋_GB2312" w:cs="宋体"/>
          <w:color w:val="000000"/>
          <w:kern w:val="0"/>
          <w:sz w:val="32"/>
          <w:szCs w:val="32"/>
        </w:rPr>
      </w:pPr>
      <w:r>
        <w:rPr>
          <w:rFonts w:hint="eastAsia" w:ascii="仿宋_GB2312" w:hAnsi="仿宋_GB2312" w:eastAsia="仿宋_GB2312"/>
          <w:color w:val="000000"/>
          <w:sz w:val="32"/>
        </w:rPr>
        <w:t>符合下列条件之一的</w:t>
      </w:r>
      <w:r>
        <w:rPr>
          <w:rFonts w:hint="eastAsia" w:ascii="仿宋_GB2312" w:hAnsi="微软雅黑" w:eastAsia="仿宋_GB2312" w:cs="宋体"/>
          <w:color w:val="000000"/>
          <w:kern w:val="0"/>
          <w:sz w:val="32"/>
          <w:szCs w:val="32"/>
        </w:rPr>
        <w:t xml:space="preserve">拖拉机、联合收割机、水稻插秧机、玉米脱粒机、花生摘果机、饲料（草）粉碎机、铡草机即可申请办理报废手续：  </w:t>
      </w:r>
    </w:p>
    <w:p>
      <w:pPr>
        <w:autoSpaceDN w:val="0"/>
        <w:spacing w:line="600" w:lineRule="exact"/>
        <w:ind w:firstLine="640" w:firstLineChars="200"/>
        <w:rPr>
          <w:rFonts w:ascii="仿宋_GB2312" w:hAnsi="仿宋_GB2312" w:eastAsia="仿宋_GB2312"/>
          <w:sz w:val="32"/>
        </w:rPr>
      </w:pPr>
      <w:r>
        <w:rPr>
          <w:rFonts w:hint="eastAsia" w:ascii="仿宋_GB2312" w:hAnsi="仿宋_GB2312" w:eastAsia="仿宋_GB2312"/>
          <w:color w:val="000000"/>
          <w:sz w:val="32"/>
        </w:rPr>
        <w:t>1、</w:t>
      </w:r>
      <w:r>
        <w:rPr>
          <w:rFonts w:hint="eastAsia" w:ascii="仿宋_GB2312" w:hAnsi="仿宋_GB2312" w:eastAsia="仿宋_GB2312"/>
          <w:sz w:val="32"/>
        </w:rPr>
        <w:t>达到报废年限的。小型拖拉机报废年限为10年、大中型拖拉机报废年限为15年、履带拖拉机报废年限为12年、自走式联合收割机报废年限为12年、悬挂式玉米联合收割机报废年限为10年、手扶式水稻插秧机报废年限为8年、乘坐式水稻插秧机报废年限为10年、</w:t>
      </w:r>
      <w:r>
        <w:rPr>
          <w:rFonts w:hint="eastAsia" w:ascii="仿宋_GB2312" w:hAnsi="微软雅黑" w:eastAsia="仿宋_GB2312" w:cs="宋体"/>
          <w:kern w:val="0"/>
          <w:sz w:val="32"/>
          <w:szCs w:val="32"/>
        </w:rPr>
        <w:t>玉米脱粒机</w:t>
      </w:r>
      <w:r>
        <w:rPr>
          <w:rFonts w:hint="eastAsia" w:ascii="仿宋_GB2312" w:hAnsi="仿宋_GB2312" w:eastAsia="仿宋_GB2312"/>
          <w:sz w:val="32"/>
        </w:rPr>
        <w:t>报废年限为8年</w:t>
      </w:r>
      <w:r>
        <w:rPr>
          <w:rFonts w:hint="eastAsia" w:ascii="仿宋_GB2312" w:hAnsi="微软雅黑" w:eastAsia="仿宋_GB2312" w:cs="宋体"/>
          <w:kern w:val="0"/>
          <w:sz w:val="32"/>
          <w:szCs w:val="32"/>
        </w:rPr>
        <w:t>、花生摘果机</w:t>
      </w:r>
      <w:r>
        <w:rPr>
          <w:rFonts w:hint="eastAsia" w:ascii="仿宋_GB2312" w:hAnsi="仿宋_GB2312" w:eastAsia="仿宋_GB2312"/>
          <w:sz w:val="32"/>
        </w:rPr>
        <w:t>报废年限为8年</w:t>
      </w:r>
      <w:r>
        <w:rPr>
          <w:rFonts w:hint="eastAsia" w:ascii="仿宋_GB2312" w:hAnsi="微软雅黑" w:eastAsia="仿宋_GB2312" w:cs="宋体"/>
          <w:kern w:val="0"/>
          <w:sz w:val="32"/>
          <w:szCs w:val="32"/>
        </w:rPr>
        <w:t>、</w:t>
      </w:r>
      <w:r>
        <w:rPr>
          <w:rFonts w:hint="eastAsia" w:ascii="仿宋_GB2312" w:hAnsi="仿宋_GB2312" w:eastAsia="仿宋_GB2312"/>
          <w:sz w:val="32"/>
        </w:rPr>
        <w:t>饲料（草）粉碎机报废年限为10年、铡草机报废年限为10年；</w:t>
      </w:r>
    </w:p>
    <w:p>
      <w:pPr>
        <w:autoSpaceDN w:val="0"/>
        <w:spacing w:line="600" w:lineRule="exact"/>
        <w:rPr>
          <w:rFonts w:ascii="仿宋_GB2312" w:hAnsi="仿宋_GB2312" w:eastAsia="仿宋_GB2312"/>
          <w:color w:val="000000"/>
          <w:sz w:val="32"/>
        </w:rPr>
      </w:pPr>
      <w:r>
        <w:rPr>
          <w:rFonts w:hint="eastAsia" w:ascii="仿宋_GB2312" w:hAnsi="仿宋_GB2312" w:eastAsia="仿宋_GB2312"/>
          <w:color w:val="000000"/>
          <w:sz w:val="32"/>
        </w:rPr>
        <w:t xml:space="preserve">    2、使用年限或累计工作时间不足，经过检查调整或更换易损件后仍然达不到规定技术要求的；</w:t>
      </w:r>
    </w:p>
    <w:p>
      <w:pPr>
        <w:autoSpaceDN w:val="0"/>
        <w:spacing w:line="600" w:lineRule="exact"/>
        <w:rPr>
          <w:rFonts w:ascii="仿宋_GB2312" w:hAnsi="仿宋_GB2312" w:eastAsia="仿宋_GB2312"/>
          <w:color w:val="000000"/>
          <w:sz w:val="32"/>
        </w:rPr>
      </w:pPr>
      <w:r>
        <w:rPr>
          <w:rFonts w:hint="eastAsia" w:ascii="仿宋_GB2312" w:hAnsi="仿宋_GB2312" w:eastAsia="仿宋_GB2312"/>
          <w:color w:val="000000"/>
          <w:sz w:val="32"/>
        </w:rPr>
        <w:t xml:space="preserve">    3、由于各种原因造成严重损坏、无法修复的；</w:t>
      </w:r>
    </w:p>
    <w:p>
      <w:pPr>
        <w:autoSpaceDN w:val="0"/>
        <w:spacing w:line="600" w:lineRule="exact"/>
        <w:rPr>
          <w:rFonts w:ascii="仿宋_GB2312" w:hAnsi="仿宋_GB2312" w:eastAsia="仿宋_GB2312"/>
          <w:color w:val="000000"/>
          <w:sz w:val="32"/>
        </w:rPr>
      </w:pPr>
      <w:r>
        <w:rPr>
          <w:rFonts w:hint="eastAsia" w:ascii="仿宋_GB2312" w:hAnsi="仿宋_GB2312" w:eastAsia="仿宋_GB2312"/>
          <w:color w:val="000000"/>
          <w:sz w:val="32"/>
        </w:rPr>
        <w:t xml:space="preserve">    4、预计大修费用大于同类新产品50%的；</w:t>
      </w:r>
    </w:p>
    <w:p>
      <w:pPr>
        <w:autoSpaceDN w:val="0"/>
        <w:spacing w:line="600" w:lineRule="exact"/>
        <w:rPr>
          <w:rFonts w:ascii="仿宋_GB2312" w:hAnsi="仿宋_GB2312" w:eastAsia="仿宋_GB2312"/>
          <w:color w:val="000000"/>
          <w:sz w:val="32"/>
        </w:rPr>
      </w:pPr>
      <w:r>
        <w:rPr>
          <w:rFonts w:hint="eastAsia" w:ascii="仿宋_GB2312" w:hAnsi="仿宋_GB2312" w:eastAsia="仿宋_GB2312"/>
          <w:color w:val="000000"/>
          <w:sz w:val="32"/>
        </w:rPr>
        <w:t xml:space="preserve">    5、未达到报废年限，但技术状况差且无配件来源的；</w:t>
      </w:r>
    </w:p>
    <w:p>
      <w:pPr>
        <w:autoSpaceDN w:val="0"/>
        <w:spacing w:line="600" w:lineRule="exact"/>
        <w:rPr>
          <w:rFonts w:ascii="仿宋_GB2312" w:hAnsi="仿宋_GB2312" w:eastAsia="仿宋_GB2312"/>
          <w:color w:val="000000"/>
          <w:sz w:val="32"/>
        </w:rPr>
      </w:pPr>
      <w:r>
        <w:rPr>
          <w:rFonts w:hint="eastAsia" w:ascii="仿宋_GB2312" w:hAnsi="仿宋_GB2312" w:eastAsia="仿宋_GB2312"/>
          <w:color w:val="000000"/>
          <w:sz w:val="32"/>
        </w:rPr>
        <w:t xml:space="preserve">    6、国家明令淘汰的。</w:t>
      </w:r>
    </w:p>
    <w:p>
      <w:pPr>
        <w:widowControl/>
        <w:wordWrap w:val="0"/>
        <w:spacing w:line="375" w:lineRule="atLeas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四、补贴标准</w:t>
      </w:r>
    </w:p>
    <w:p>
      <w:pPr>
        <w:widowControl/>
        <w:wordWrap w:val="0"/>
        <w:spacing w:line="375" w:lineRule="atLeast"/>
        <w:jc w:val="left"/>
        <w:rPr>
          <w:rFonts w:ascii="仿宋_GB2312" w:hAnsi="微软雅黑" w:eastAsia="仿宋_GB2312" w:cs="宋体"/>
          <w:color w:val="000000"/>
          <w:kern w:val="0"/>
          <w:sz w:val="32"/>
          <w:szCs w:val="32"/>
        </w:rPr>
      </w:pPr>
      <w:r>
        <w:rPr>
          <w:rFonts w:hint="eastAsia" w:ascii="微软雅黑" w:hAnsi="微软雅黑" w:eastAsia="微软雅黑" w:cs="宋体"/>
          <w:color w:val="000000"/>
          <w:kern w:val="0"/>
          <w:sz w:val="27"/>
          <w:szCs w:val="27"/>
        </w:rPr>
        <w:t xml:space="preserve">     </w:t>
      </w:r>
      <w:r>
        <w:rPr>
          <w:rFonts w:hint="eastAsia" w:ascii="仿宋_GB2312" w:hAnsi="微软雅黑" w:eastAsia="仿宋_GB2312" w:cs="宋体"/>
          <w:color w:val="000000"/>
          <w:kern w:val="0"/>
          <w:sz w:val="32"/>
          <w:szCs w:val="32"/>
        </w:rPr>
        <w:t>中央财政农机报废更新补贴由报废部分补贴与更新部分补贴两部分构成。报废部分补贴实行定额补贴，补贴额（详见附件1）。更新部分补贴标准按我省农机购置补贴政策执行。 </w:t>
      </w:r>
    </w:p>
    <w:p>
      <w:pPr>
        <w:widowControl/>
        <w:wordWrap w:val="0"/>
        <w:spacing w:line="375" w:lineRule="atLeas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五、回收企业</w:t>
      </w:r>
    </w:p>
    <w:p>
      <w:pPr>
        <w:widowControl/>
        <w:spacing w:line="600" w:lineRule="exact"/>
        <w:ind w:firstLine="640" w:firstLineChars="200"/>
        <w:jc w:val="left"/>
        <w:outlineLvl w:val="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w:t>
      </w:r>
      <w:r>
        <w:rPr>
          <w:rFonts w:hint="eastAsia" w:ascii="仿宋_GB2312" w:hAnsi="微软雅黑" w:eastAsia="仿宋_GB2312" w:cs="宋体"/>
          <w:kern w:val="0"/>
          <w:sz w:val="32"/>
          <w:szCs w:val="32"/>
        </w:rPr>
        <w:t>申请回收拆解农机业务，可向企业所在地县级农业机械化主管部门提出申请，县级农业机械化主管部门现场核验同意后，</w:t>
      </w:r>
      <w:r>
        <w:rPr>
          <w:rFonts w:hint="eastAsia" w:ascii="仿宋_GB2312" w:hAnsi="微软雅黑" w:eastAsia="仿宋_GB2312" w:cs="宋体"/>
          <w:color w:val="000000"/>
          <w:kern w:val="0"/>
          <w:sz w:val="32"/>
          <w:szCs w:val="32"/>
        </w:rPr>
        <w:t>报市级</w:t>
      </w:r>
      <w:r>
        <w:rPr>
          <w:rFonts w:hint="eastAsia" w:ascii="仿宋_GB2312" w:hAnsi="微软雅黑" w:eastAsia="仿宋_GB2312" w:cs="宋体"/>
          <w:kern w:val="0"/>
          <w:sz w:val="32"/>
          <w:szCs w:val="32"/>
        </w:rPr>
        <w:t>农业机械化主管部门备案并通过本市媒体和省农机购置补贴信息公开</w:t>
      </w:r>
      <w:r>
        <w:rPr>
          <w:rFonts w:hint="eastAsia" w:ascii="仿宋_GB2312" w:hAnsi="微软雅黑" w:eastAsia="仿宋_GB2312" w:cs="宋体"/>
          <w:color w:val="000000"/>
          <w:kern w:val="0"/>
          <w:sz w:val="32"/>
          <w:szCs w:val="32"/>
        </w:rPr>
        <w:t>专栏向社会公布。</w:t>
      </w:r>
    </w:p>
    <w:p>
      <w:pPr>
        <w:widowControl/>
        <w:wordWrap w:val="0"/>
        <w:spacing w:line="375" w:lineRule="atLeas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六、操作程序</w:t>
      </w:r>
    </w:p>
    <w:p>
      <w:pPr>
        <w:autoSpaceDN w:val="0"/>
        <w:spacing w:line="600" w:lineRule="exact"/>
        <w:ind w:firstLine="643" w:firstLineChars="200"/>
        <w:rPr>
          <w:rFonts w:ascii="仿宋_GB2312" w:hAnsi="微软雅黑" w:eastAsia="仿宋_GB2312" w:cs="宋体"/>
          <w:color w:val="FF0000"/>
          <w:kern w:val="0"/>
          <w:sz w:val="32"/>
          <w:szCs w:val="32"/>
        </w:rPr>
      </w:pPr>
      <w:r>
        <w:rPr>
          <w:rFonts w:hint="eastAsia" w:ascii="楷体" w:hAnsi="楷体" w:eastAsia="楷体" w:cs="宋体"/>
          <w:b/>
          <w:color w:val="000000"/>
          <w:kern w:val="0"/>
          <w:sz w:val="32"/>
          <w:szCs w:val="32"/>
        </w:rPr>
        <w:t>（一）报废旧机。</w:t>
      </w:r>
      <w:r>
        <w:rPr>
          <w:rFonts w:hint="eastAsia" w:ascii="仿宋_GB2312" w:hAnsi="微软雅黑" w:eastAsia="仿宋_GB2312" w:cs="宋体"/>
          <w:color w:val="000000"/>
          <w:kern w:val="0"/>
          <w:sz w:val="32"/>
          <w:szCs w:val="32"/>
        </w:rPr>
        <w:t>机主自愿将拟报废的农机交售给</w:t>
      </w:r>
      <w:r>
        <w:rPr>
          <w:rFonts w:hint="eastAsia" w:ascii="仿宋_GB2312" w:hAnsi="微软雅黑" w:eastAsia="仿宋_GB2312" w:cs="宋体"/>
          <w:kern w:val="0"/>
          <w:sz w:val="32"/>
          <w:szCs w:val="32"/>
        </w:rPr>
        <w:t>经公布的</w:t>
      </w:r>
      <w:r>
        <w:rPr>
          <w:rFonts w:hint="eastAsia" w:ascii="仿宋_GB2312" w:hAnsi="微软雅黑" w:eastAsia="仿宋_GB2312" w:cs="宋体"/>
          <w:color w:val="000000"/>
          <w:kern w:val="0"/>
          <w:sz w:val="32"/>
          <w:szCs w:val="32"/>
        </w:rPr>
        <w:t>回收企业，报废农机残值由回收企业与机主按照公平自愿原则商定。回收企业应当核对机主和拟报废的农机信息，向机主出具《报废农业机械回收确认表（样式）》（见附件2，以下简称《确认表》），向当地</w:t>
      </w:r>
      <w:r>
        <w:rPr>
          <w:rFonts w:hint="eastAsia" w:ascii="仿宋_GB2312" w:hAnsi="微软雅黑" w:eastAsia="仿宋_GB2312" w:cs="宋体"/>
          <w:kern w:val="0"/>
          <w:sz w:val="32"/>
          <w:szCs w:val="32"/>
        </w:rPr>
        <w:t>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县级农业机械化主管部门</w:t>
      </w:r>
      <w:r>
        <w:rPr>
          <w:rFonts w:hint="eastAsia" w:ascii="仿宋_GB2312" w:hAnsi="微软雅黑" w:eastAsia="仿宋_GB2312" w:cs="宋体"/>
          <w:color w:val="000000"/>
          <w:kern w:val="0"/>
          <w:sz w:val="32"/>
          <w:szCs w:val="32"/>
        </w:rPr>
        <w:t>应对辖区内回收企业拆解或者销毁农机进行监督，探索远程监控回收拆解机制，督促回收企业留存好拆前、拆中、拆后照片等资料。</w:t>
      </w:r>
    </w:p>
    <w:p>
      <w:pPr>
        <w:widowControl/>
        <w:wordWrap w:val="0"/>
        <w:spacing w:line="375" w:lineRule="atLeas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（二）注销登记。</w:t>
      </w:r>
      <w:r>
        <w:rPr>
          <w:rFonts w:hint="eastAsia" w:ascii="仿宋_GB2312" w:hAnsi="微软雅黑" w:eastAsia="仿宋_GB2312" w:cs="宋体"/>
          <w:color w:val="000000"/>
          <w:kern w:val="0"/>
          <w:sz w:val="32"/>
          <w:szCs w:val="32"/>
        </w:rPr>
        <w:t>纳入牌证管理的拖拉机和联合收割机机主持《确认表》和相关证照，到当地农机牌证管理机构依法办理牌证注销手续。相关机构核对机主和报废农机信息后，在《确认表》上签注“已办理注销登记”字样。</w:t>
      </w:r>
    </w:p>
    <w:p>
      <w:pPr>
        <w:widowControl/>
        <w:wordWrap w:val="0"/>
        <w:spacing w:line="375" w:lineRule="atLeas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（三）兑现补贴。</w:t>
      </w:r>
      <w:r>
        <w:rPr>
          <w:rFonts w:hint="eastAsia" w:ascii="仿宋_GB2312" w:hAnsi="微软雅黑" w:eastAsia="仿宋_GB2312" w:cs="宋体"/>
          <w:color w:val="000000"/>
          <w:kern w:val="0"/>
          <w:sz w:val="32"/>
          <w:szCs w:val="32"/>
        </w:rPr>
        <w:t>机主凭有效的《确认表》，按当地相关规定申请补贴。</w:t>
      </w:r>
      <w:r>
        <w:rPr>
          <w:rFonts w:hint="eastAsia" w:ascii="仿宋_GB2312" w:hAnsi="微软雅黑" w:eastAsia="仿宋_GB2312" w:cs="宋体"/>
          <w:kern w:val="0"/>
          <w:sz w:val="32"/>
          <w:szCs w:val="32"/>
        </w:rPr>
        <w:t>农业机械化主管部门负责对申请资料进行审核，财政部门向符合要求的机主兑现补贴资金，拖拉机、联合收割机牌证齐全并办理注销登记的优先。县级农业机械化主管部门结</w:t>
      </w:r>
      <w:r>
        <w:rPr>
          <w:rFonts w:hint="eastAsia" w:ascii="仿宋_GB2312" w:hAnsi="微软雅黑" w:eastAsia="仿宋_GB2312" w:cs="宋体"/>
          <w:color w:val="000000"/>
          <w:kern w:val="0"/>
          <w:sz w:val="32"/>
          <w:szCs w:val="32"/>
        </w:rPr>
        <w:t>合实际，设置个人和农业生产经营组织年度内享受报废补贴的农机数量上限。县级</w:t>
      </w:r>
      <w:r>
        <w:rPr>
          <w:rFonts w:hint="eastAsia" w:ascii="仿宋_GB2312" w:hAnsi="微软雅黑" w:eastAsia="仿宋_GB2312" w:cs="宋体"/>
          <w:kern w:val="0"/>
          <w:sz w:val="32"/>
          <w:szCs w:val="32"/>
        </w:rPr>
        <w:t>农业机械化主管部门</w:t>
      </w:r>
      <w:r>
        <w:rPr>
          <w:rFonts w:hint="eastAsia" w:ascii="仿宋_GB2312" w:hAnsi="微软雅黑" w:eastAsia="仿宋_GB2312" w:cs="宋体"/>
          <w:color w:val="000000"/>
          <w:kern w:val="0"/>
          <w:sz w:val="32"/>
          <w:szCs w:val="32"/>
        </w:rPr>
        <w:t>应按照</w:t>
      </w:r>
      <w:r>
        <w:rPr>
          <w:rFonts w:hint="eastAsia" w:ascii="仿宋_GB2312" w:hAnsi="微软雅黑" w:eastAsia="仿宋_GB2312" w:cs="宋体"/>
          <w:kern w:val="0"/>
          <w:sz w:val="32"/>
          <w:szCs w:val="32"/>
        </w:rPr>
        <w:t>每年</w:t>
      </w:r>
      <w:r>
        <w:rPr>
          <w:rFonts w:hint="eastAsia" w:ascii="仿宋_GB2312" w:hAnsi="微软雅黑" w:eastAsia="仿宋_GB2312" w:cs="宋体"/>
          <w:color w:val="000000"/>
          <w:kern w:val="0"/>
          <w:sz w:val="32"/>
          <w:szCs w:val="32"/>
        </w:rPr>
        <w:t>报废补贴机具总量不超过购置补贴机具总量的原则，合理确定年度报废补贴农机数量。</w:t>
      </w:r>
    </w:p>
    <w:p>
      <w:pPr>
        <w:widowControl/>
        <w:wordWrap w:val="0"/>
        <w:spacing w:line="375" w:lineRule="atLeas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七、工作要求</w:t>
      </w:r>
    </w:p>
    <w:p>
      <w:pPr>
        <w:widowControl/>
        <w:wordWrap w:val="0"/>
        <w:spacing w:line="375"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 xml:space="preserve">    </w:t>
      </w:r>
      <w:r>
        <w:rPr>
          <w:rFonts w:hint="eastAsia" w:ascii="楷体" w:hAnsi="楷体" w:eastAsia="楷体" w:cs="宋体"/>
          <w:b/>
          <w:color w:val="000000"/>
          <w:kern w:val="0"/>
          <w:sz w:val="32"/>
          <w:szCs w:val="32"/>
        </w:rPr>
        <w:t>（一）加强组织领导。</w:t>
      </w:r>
      <w:r>
        <w:rPr>
          <w:rFonts w:hint="eastAsia" w:ascii="仿宋_GB2312" w:hAnsi="微软雅黑" w:eastAsia="仿宋_GB2312" w:cs="宋体"/>
          <w:color w:val="000000"/>
          <w:kern w:val="0"/>
          <w:sz w:val="32"/>
          <w:szCs w:val="32"/>
        </w:rPr>
        <w:t>各市县</w:t>
      </w:r>
      <w:r>
        <w:rPr>
          <w:rFonts w:hint="eastAsia" w:ascii="仿宋_GB2312" w:hAnsi="微软雅黑" w:eastAsia="仿宋_GB2312" w:cs="宋体"/>
          <w:kern w:val="0"/>
          <w:sz w:val="32"/>
          <w:szCs w:val="32"/>
        </w:rPr>
        <w:t>农业机械化主管部门</w:t>
      </w:r>
      <w:r>
        <w:rPr>
          <w:rFonts w:hint="eastAsia" w:ascii="仿宋_GB2312" w:hAnsi="微软雅黑" w:eastAsia="仿宋_GB2312" w:cs="宋体"/>
          <w:color w:val="000000"/>
          <w:kern w:val="0"/>
          <w:sz w:val="32"/>
          <w:szCs w:val="32"/>
        </w:rPr>
        <w:t>、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widowControl/>
        <w:wordWrap w:val="0"/>
        <w:spacing w:line="375" w:lineRule="atLeast"/>
        <w:jc w:val="left"/>
        <w:rPr>
          <w:rFonts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 xml:space="preserve">    </w:t>
      </w:r>
      <w:r>
        <w:rPr>
          <w:rFonts w:hint="eastAsia" w:ascii="楷体" w:hAnsi="楷体" w:eastAsia="楷体" w:cs="宋体"/>
          <w:b/>
          <w:color w:val="000000"/>
          <w:kern w:val="0"/>
          <w:sz w:val="32"/>
          <w:szCs w:val="32"/>
        </w:rPr>
        <w:t>（二）推行便民服务。</w:t>
      </w:r>
      <w:r>
        <w:rPr>
          <w:rFonts w:hint="eastAsia" w:ascii="仿宋_GB2312" w:hAnsi="微软雅黑" w:eastAsia="仿宋_GB2312" w:cs="宋体"/>
          <w:color w:val="000000"/>
          <w:kern w:val="0"/>
          <w:sz w:val="32"/>
          <w:szCs w:val="32"/>
        </w:rPr>
        <w:t>各地有关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widowControl/>
        <w:wordWrap w:val="0"/>
        <w:spacing w:line="375" w:lineRule="atLeas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（三）强化监督管理。</w:t>
      </w:r>
      <w:r>
        <w:rPr>
          <w:rFonts w:hint="eastAsia" w:ascii="仿宋_GB2312" w:hAnsi="微软雅黑" w:eastAsia="仿宋_GB2312" w:cs="宋体"/>
          <w:color w:val="000000"/>
          <w:kern w:val="0"/>
          <w:sz w:val="32"/>
          <w:szCs w:val="32"/>
        </w:rPr>
        <w:t>农机报废更新补贴实施已纳入农机购置补贴延伸绩效管理考核内容，各地要强化结果运用。有关部门要按照各自职责加强对农机报废更新补贴工作的监管。农机报废更新补贴工作是农机购置补贴一项重要内容，各地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 </w:t>
      </w:r>
    </w:p>
    <w:p>
      <w:pPr>
        <w:widowControl/>
        <w:wordWrap w:val="0"/>
        <w:spacing w:line="375"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w:t>
      </w:r>
      <w:r>
        <w:rPr>
          <w:rFonts w:hint="eastAsia" w:ascii="楷体" w:hAnsi="楷体" w:eastAsia="楷体" w:cs="宋体"/>
          <w:b/>
          <w:color w:val="000000"/>
          <w:kern w:val="0"/>
          <w:sz w:val="32"/>
          <w:szCs w:val="32"/>
        </w:rPr>
        <w:t>（四）及时报送情况。</w:t>
      </w:r>
      <w:r>
        <w:rPr>
          <w:rFonts w:hint="eastAsia" w:ascii="仿宋_GB2312" w:hAnsi="微软雅黑" w:eastAsia="仿宋_GB2312" w:cs="宋体"/>
          <w:color w:val="000000"/>
          <w:kern w:val="0"/>
          <w:sz w:val="32"/>
          <w:szCs w:val="32"/>
        </w:rPr>
        <w:t>各地要根据本实施方案，结合实际制定印发本地农机报废更新补贴实施方案，并报上级主管部门。要加强实施进度统计分析，严格执行进度季报制度，做好半年和全年总结分析，每年7月1日和12月1日前分别报送半年和全年农机报废更新补贴工作总结。</w:t>
      </w:r>
    </w:p>
    <w:p>
      <w:pPr>
        <w:widowControl/>
        <w:wordWrap w:val="0"/>
        <w:spacing w:line="375"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w:t>
      </w:r>
    </w:p>
    <w:p>
      <w:pPr>
        <w:widowControl/>
        <w:wordWrap w:val="0"/>
        <w:spacing w:line="375"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附件：1.农机报废更新补贴额一览表</w:t>
      </w:r>
    </w:p>
    <w:p>
      <w:pPr>
        <w:widowControl/>
        <w:wordWrap w:val="0"/>
        <w:spacing w:line="375" w:lineRule="atLeast"/>
        <w:jc w:val="left"/>
        <w:rPr>
          <w:rFonts w:ascii="仿宋_GB2312" w:hAnsi="宋体" w:eastAsia="仿宋_GB2312"/>
          <w:sz w:val="28"/>
          <w:szCs w:val="28"/>
        </w:rPr>
      </w:pPr>
      <w:r>
        <w:rPr>
          <w:rFonts w:hint="eastAsia" w:ascii="仿宋_GB2312" w:hAnsi="微软雅黑" w:eastAsia="仿宋_GB2312" w:cs="宋体"/>
          <w:color w:val="000000"/>
          <w:kern w:val="0"/>
          <w:sz w:val="32"/>
          <w:szCs w:val="32"/>
        </w:rPr>
        <w:t xml:space="preserve">          </w:t>
      </w:r>
      <w:bookmarkStart w:id="0" w:name="_GoBack"/>
      <w:bookmarkEnd w:id="0"/>
    </w:p>
    <w:sectPr>
      <w:headerReference r:id="rId3" w:type="default"/>
      <w:footerReference r:id="rId4" w:type="default"/>
      <w:pgSz w:w="11906" w:h="16838"/>
      <w:pgMar w:top="2098"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6A8B"/>
    <w:rsid w:val="00011395"/>
    <w:rsid w:val="00022715"/>
    <w:rsid w:val="000271EB"/>
    <w:rsid w:val="00037C42"/>
    <w:rsid w:val="00045737"/>
    <w:rsid w:val="000529B2"/>
    <w:rsid w:val="000550C6"/>
    <w:rsid w:val="000551E1"/>
    <w:rsid w:val="00074DCB"/>
    <w:rsid w:val="0007736D"/>
    <w:rsid w:val="000943A0"/>
    <w:rsid w:val="000A43ED"/>
    <w:rsid w:val="000B42C0"/>
    <w:rsid w:val="000D209F"/>
    <w:rsid w:val="000E683D"/>
    <w:rsid w:val="000F35D4"/>
    <w:rsid w:val="00107E9A"/>
    <w:rsid w:val="00110D2A"/>
    <w:rsid w:val="00132955"/>
    <w:rsid w:val="001340E0"/>
    <w:rsid w:val="001449B1"/>
    <w:rsid w:val="00146DBD"/>
    <w:rsid w:val="00153387"/>
    <w:rsid w:val="00170FA5"/>
    <w:rsid w:val="00196C65"/>
    <w:rsid w:val="001A5D31"/>
    <w:rsid w:val="001B6E54"/>
    <w:rsid w:val="001C6AAD"/>
    <w:rsid w:val="001D2295"/>
    <w:rsid w:val="00215450"/>
    <w:rsid w:val="00220EE9"/>
    <w:rsid w:val="00227988"/>
    <w:rsid w:val="00245BA5"/>
    <w:rsid w:val="0027218D"/>
    <w:rsid w:val="002A0C01"/>
    <w:rsid w:val="002A6061"/>
    <w:rsid w:val="002C17C2"/>
    <w:rsid w:val="002C4CD0"/>
    <w:rsid w:val="002C661C"/>
    <w:rsid w:val="002C7F37"/>
    <w:rsid w:val="002D0515"/>
    <w:rsid w:val="002D4014"/>
    <w:rsid w:val="002D5CE2"/>
    <w:rsid w:val="002E3F1D"/>
    <w:rsid w:val="002F34F8"/>
    <w:rsid w:val="002F7138"/>
    <w:rsid w:val="003137C2"/>
    <w:rsid w:val="00321E01"/>
    <w:rsid w:val="00333E9B"/>
    <w:rsid w:val="00347745"/>
    <w:rsid w:val="00356A7F"/>
    <w:rsid w:val="0036032B"/>
    <w:rsid w:val="0037408F"/>
    <w:rsid w:val="003756BA"/>
    <w:rsid w:val="00382EE3"/>
    <w:rsid w:val="00383566"/>
    <w:rsid w:val="003921DA"/>
    <w:rsid w:val="003948BD"/>
    <w:rsid w:val="00395BB1"/>
    <w:rsid w:val="003B46C5"/>
    <w:rsid w:val="003B56EB"/>
    <w:rsid w:val="003C5DA1"/>
    <w:rsid w:val="003D35EF"/>
    <w:rsid w:val="003E3021"/>
    <w:rsid w:val="003E677D"/>
    <w:rsid w:val="003E70D4"/>
    <w:rsid w:val="003F0B61"/>
    <w:rsid w:val="003F0FA5"/>
    <w:rsid w:val="004100B3"/>
    <w:rsid w:val="00412FDE"/>
    <w:rsid w:val="00413272"/>
    <w:rsid w:val="00437DF9"/>
    <w:rsid w:val="00442D58"/>
    <w:rsid w:val="0045576C"/>
    <w:rsid w:val="0046374E"/>
    <w:rsid w:val="00484EC0"/>
    <w:rsid w:val="004A7D5B"/>
    <w:rsid w:val="004B228C"/>
    <w:rsid w:val="004B4ECC"/>
    <w:rsid w:val="004C4A8B"/>
    <w:rsid w:val="004D04B1"/>
    <w:rsid w:val="004D077C"/>
    <w:rsid w:val="004D0C36"/>
    <w:rsid w:val="004E4577"/>
    <w:rsid w:val="004F5277"/>
    <w:rsid w:val="00500F3D"/>
    <w:rsid w:val="00501C5A"/>
    <w:rsid w:val="0052406F"/>
    <w:rsid w:val="00531DBC"/>
    <w:rsid w:val="00537AFA"/>
    <w:rsid w:val="00541654"/>
    <w:rsid w:val="00571AEE"/>
    <w:rsid w:val="0058702E"/>
    <w:rsid w:val="005C3A32"/>
    <w:rsid w:val="005C3E67"/>
    <w:rsid w:val="005D6BB9"/>
    <w:rsid w:val="005E16DC"/>
    <w:rsid w:val="005E3C12"/>
    <w:rsid w:val="005F50EB"/>
    <w:rsid w:val="00613ABC"/>
    <w:rsid w:val="00645EAE"/>
    <w:rsid w:val="006535F0"/>
    <w:rsid w:val="00670002"/>
    <w:rsid w:val="00676170"/>
    <w:rsid w:val="00676EF9"/>
    <w:rsid w:val="0069291C"/>
    <w:rsid w:val="006A1A86"/>
    <w:rsid w:val="006A43E7"/>
    <w:rsid w:val="006A65F9"/>
    <w:rsid w:val="006B197E"/>
    <w:rsid w:val="006D0DF5"/>
    <w:rsid w:val="006D362A"/>
    <w:rsid w:val="006D4B78"/>
    <w:rsid w:val="006D6A9D"/>
    <w:rsid w:val="006D6F5C"/>
    <w:rsid w:val="006E0092"/>
    <w:rsid w:val="006E538E"/>
    <w:rsid w:val="006F31B0"/>
    <w:rsid w:val="006F3FD3"/>
    <w:rsid w:val="007205B0"/>
    <w:rsid w:val="00724D10"/>
    <w:rsid w:val="0073665C"/>
    <w:rsid w:val="007773C5"/>
    <w:rsid w:val="0078555A"/>
    <w:rsid w:val="00797ADB"/>
    <w:rsid w:val="007A0588"/>
    <w:rsid w:val="007A6711"/>
    <w:rsid w:val="007C67EE"/>
    <w:rsid w:val="007E3048"/>
    <w:rsid w:val="0084064E"/>
    <w:rsid w:val="00852FF5"/>
    <w:rsid w:val="00853533"/>
    <w:rsid w:val="00877A45"/>
    <w:rsid w:val="00893234"/>
    <w:rsid w:val="00897098"/>
    <w:rsid w:val="008B74F2"/>
    <w:rsid w:val="008C3429"/>
    <w:rsid w:val="008C504D"/>
    <w:rsid w:val="008C7896"/>
    <w:rsid w:val="008D2009"/>
    <w:rsid w:val="008D6A8B"/>
    <w:rsid w:val="00902A06"/>
    <w:rsid w:val="00914FDC"/>
    <w:rsid w:val="0092555E"/>
    <w:rsid w:val="00931454"/>
    <w:rsid w:val="00940F5C"/>
    <w:rsid w:val="00954308"/>
    <w:rsid w:val="00965533"/>
    <w:rsid w:val="00972064"/>
    <w:rsid w:val="00973ACD"/>
    <w:rsid w:val="00975AB2"/>
    <w:rsid w:val="009929BA"/>
    <w:rsid w:val="009A1D97"/>
    <w:rsid w:val="009A4610"/>
    <w:rsid w:val="009C0E58"/>
    <w:rsid w:val="009C47B8"/>
    <w:rsid w:val="009D1BBE"/>
    <w:rsid w:val="009D77BC"/>
    <w:rsid w:val="009E4B58"/>
    <w:rsid w:val="009E4C0E"/>
    <w:rsid w:val="009E7B2C"/>
    <w:rsid w:val="009F3900"/>
    <w:rsid w:val="00A036B5"/>
    <w:rsid w:val="00A113CC"/>
    <w:rsid w:val="00A26F93"/>
    <w:rsid w:val="00A42F8F"/>
    <w:rsid w:val="00A4565A"/>
    <w:rsid w:val="00A650A7"/>
    <w:rsid w:val="00A77F64"/>
    <w:rsid w:val="00A8329B"/>
    <w:rsid w:val="00A86AA4"/>
    <w:rsid w:val="00A95F3A"/>
    <w:rsid w:val="00AA3020"/>
    <w:rsid w:val="00AB457E"/>
    <w:rsid w:val="00AB4D4B"/>
    <w:rsid w:val="00AB65EE"/>
    <w:rsid w:val="00AC04F1"/>
    <w:rsid w:val="00AC3B47"/>
    <w:rsid w:val="00AC6845"/>
    <w:rsid w:val="00AD36EF"/>
    <w:rsid w:val="00AE703D"/>
    <w:rsid w:val="00AF322C"/>
    <w:rsid w:val="00AF7C39"/>
    <w:rsid w:val="00B04BF0"/>
    <w:rsid w:val="00B139ED"/>
    <w:rsid w:val="00B17FE6"/>
    <w:rsid w:val="00B20CEB"/>
    <w:rsid w:val="00B23C80"/>
    <w:rsid w:val="00B3054F"/>
    <w:rsid w:val="00B403DC"/>
    <w:rsid w:val="00B539EA"/>
    <w:rsid w:val="00B554BC"/>
    <w:rsid w:val="00B55E8B"/>
    <w:rsid w:val="00B63EA1"/>
    <w:rsid w:val="00B65BB8"/>
    <w:rsid w:val="00B86EB5"/>
    <w:rsid w:val="00BE1C0F"/>
    <w:rsid w:val="00BE64BC"/>
    <w:rsid w:val="00BF207E"/>
    <w:rsid w:val="00BF482C"/>
    <w:rsid w:val="00BF5EC1"/>
    <w:rsid w:val="00C10BED"/>
    <w:rsid w:val="00C147BF"/>
    <w:rsid w:val="00C34582"/>
    <w:rsid w:val="00C43471"/>
    <w:rsid w:val="00C632BE"/>
    <w:rsid w:val="00C75D9B"/>
    <w:rsid w:val="00C77BB5"/>
    <w:rsid w:val="00C81B21"/>
    <w:rsid w:val="00C90AAB"/>
    <w:rsid w:val="00C924BE"/>
    <w:rsid w:val="00CC3D4F"/>
    <w:rsid w:val="00CE14D7"/>
    <w:rsid w:val="00CF7C28"/>
    <w:rsid w:val="00D05C9A"/>
    <w:rsid w:val="00D101C7"/>
    <w:rsid w:val="00D16255"/>
    <w:rsid w:val="00D174E2"/>
    <w:rsid w:val="00D41378"/>
    <w:rsid w:val="00D4195C"/>
    <w:rsid w:val="00D602E8"/>
    <w:rsid w:val="00D7255B"/>
    <w:rsid w:val="00DA26C8"/>
    <w:rsid w:val="00DB58A1"/>
    <w:rsid w:val="00DC4BB6"/>
    <w:rsid w:val="00DC7DFE"/>
    <w:rsid w:val="00DE5ED8"/>
    <w:rsid w:val="00DF2088"/>
    <w:rsid w:val="00E250E6"/>
    <w:rsid w:val="00E27404"/>
    <w:rsid w:val="00E340E5"/>
    <w:rsid w:val="00E35634"/>
    <w:rsid w:val="00E37595"/>
    <w:rsid w:val="00E4097F"/>
    <w:rsid w:val="00E41976"/>
    <w:rsid w:val="00E4235B"/>
    <w:rsid w:val="00E61857"/>
    <w:rsid w:val="00E731C2"/>
    <w:rsid w:val="00E8109C"/>
    <w:rsid w:val="00E863AE"/>
    <w:rsid w:val="00E93393"/>
    <w:rsid w:val="00EA7A96"/>
    <w:rsid w:val="00EC393E"/>
    <w:rsid w:val="00ED5BA0"/>
    <w:rsid w:val="00EE2433"/>
    <w:rsid w:val="00EF2A59"/>
    <w:rsid w:val="00EF4F6E"/>
    <w:rsid w:val="00F05178"/>
    <w:rsid w:val="00F062F9"/>
    <w:rsid w:val="00F16CDF"/>
    <w:rsid w:val="00F20207"/>
    <w:rsid w:val="00F40A9E"/>
    <w:rsid w:val="00F4307B"/>
    <w:rsid w:val="00F448FD"/>
    <w:rsid w:val="00F44C16"/>
    <w:rsid w:val="00F46D3B"/>
    <w:rsid w:val="00F571C7"/>
    <w:rsid w:val="00F61DDF"/>
    <w:rsid w:val="00F62AAD"/>
    <w:rsid w:val="00F72533"/>
    <w:rsid w:val="00F77353"/>
    <w:rsid w:val="00F90CC4"/>
    <w:rsid w:val="00F91B75"/>
    <w:rsid w:val="00F92FBB"/>
    <w:rsid w:val="00F93245"/>
    <w:rsid w:val="00F969F6"/>
    <w:rsid w:val="00FA0482"/>
    <w:rsid w:val="00FA4A90"/>
    <w:rsid w:val="00FA5C34"/>
    <w:rsid w:val="00FA65BA"/>
    <w:rsid w:val="00FE43CC"/>
    <w:rsid w:val="00FE48A1"/>
    <w:rsid w:val="00FE51F9"/>
    <w:rsid w:val="00FF662B"/>
    <w:rsid w:val="4081711C"/>
    <w:rsid w:val="5CDD5D28"/>
    <w:rsid w:val="5FB43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标题 1 Char"/>
    <w:link w:val="2"/>
    <w:qFormat/>
    <w:uiPriority w:val="9"/>
    <w:rPr>
      <w:rFonts w:ascii="宋体" w:hAnsi="宋体" w:cs="宋体"/>
      <w:b/>
      <w:bCs/>
      <w:kern w:val="36"/>
      <w:sz w:val="48"/>
      <w:szCs w:val="48"/>
    </w:rPr>
  </w:style>
  <w:style w:type="character" w:customStyle="1" w:styleId="10">
    <w:name w:val="批注框文本 Char"/>
    <w:link w:val="3"/>
    <w:uiPriority w:val="0"/>
    <w:rPr>
      <w:kern w:val="2"/>
      <w:sz w:val="18"/>
      <w:szCs w:val="18"/>
    </w:rPr>
  </w:style>
  <w:style w:type="character" w:customStyle="1" w:styleId="11">
    <w:name w:val="页脚 Char"/>
    <w:link w:val="4"/>
    <w:uiPriority w:val="99"/>
    <w:rPr>
      <w:kern w:val="2"/>
      <w:sz w:val="18"/>
      <w:szCs w:val="18"/>
    </w:rPr>
  </w:style>
  <w:style w:type="paragraph" w:styleId="12">
    <w:name w:val="No Spacing"/>
    <w:link w:val="13"/>
    <w:qFormat/>
    <w:uiPriority w:val="1"/>
    <w:rPr>
      <w:rFonts w:ascii="Calibri" w:hAnsi="Calibri" w:eastAsia="宋体" w:cs="Times New Roman"/>
      <w:sz w:val="22"/>
      <w:szCs w:val="22"/>
      <w:lang w:val="en-US" w:eastAsia="zh-CN" w:bidi="ar-SA"/>
    </w:rPr>
  </w:style>
  <w:style w:type="character" w:customStyle="1" w:styleId="13">
    <w:name w:val="无间隔 Char"/>
    <w:basedOn w:val="8"/>
    <w:link w:val="12"/>
    <w:uiPriority w:val="1"/>
    <w:rPr>
      <w:rFonts w:ascii="Calibri" w:hAnsi="Calibri"/>
      <w:sz w:val="22"/>
      <w:szCs w:val="22"/>
      <w:lang w:val="en-US" w:eastAsia="zh-CN" w:bidi="ar-SA"/>
    </w:rPr>
  </w:style>
  <w:style w:type="character" w:customStyle="1" w:styleId="14">
    <w:name w:val="页眉 Char"/>
    <w:basedOn w:val="8"/>
    <w:link w:val="5"/>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832</Words>
  <Characters>4748</Characters>
  <Lines>39</Lines>
  <Paragraphs>11</Paragraphs>
  <TotalTime>66</TotalTime>
  <ScaleCrop>false</ScaleCrop>
  <LinksUpToDate>false</LinksUpToDate>
  <CharactersWithSpaces>5569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2020-06-16T08:18:00Z</dcterms:created>
  <dc:creator>Administrator</dc:creator>
  <cp:lastModifiedBy>宜阳齐惠杰</cp:lastModifiedBy>
  <cp:lastPrinted>2020-06-08T07:26:00Z</cp:lastPrinted>
  <dcterms:modified xsi:type="dcterms:W3CDTF">2020-07-02T03:31:49Z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